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CE" w:rsidRDefault="003320CE" w:rsidP="003320CE">
      <w:pPr>
        <w:pStyle w:val="a4"/>
        <w:widowControl/>
        <w:spacing w:before="0" w:beforeAutospacing="0" w:after="0" w:afterAutospacing="0" w:line="360" w:lineRule="auto"/>
        <w:jc w:val="both"/>
        <w:rPr>
          <w:rFonts w:ascii="仿宋" w:eastAsia="仿宋" w:hAnsi="仿宋" w:cs="仿宋"/>
          <w:sz w:val="32"/>
          <w:szCs w:val="32"/>
        </w:rPr>
      </w:pPr>
    </w:p>
    <w:p w:rsidR="003320CE" w:rsidRDefault="003320CE" w:rsidP="003320CE">
      <w:pPr>
        <w:rPr>
          <w:rFonts w:ascii="黑体" w:eastAsia="黑体" w:hAnsi="黑体" w:hint="eastAsia"/>
          <w:sz w:val="32"/>
          <w:szCs w:val="32"/>
        </w:rPr>
      </w:pPr>
      <w:r>
        <w:rPr>
          <w:rFonts w:ascii="黑体" w:eastAsia="黑体" w:hAnsi="黑体" w:hint="eastAsia"/>
          <w:sz w:val="32"/>
          <w:szCs w:val="32"/>
        </w:rPr>
        <w:t>附件1</w:t>
      </w:r>
    </w:p>
    <w:p w:rsidR="003320CE" w:rsidRDefault="003320CE" w:rsidP="003320CE">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第九届中国创新创业大赛河南赛区平顶山分赛区复赛评审方案</w:t>
      </w:r>
    </w:p>
    <w:p w:rsidR="003320CE" w:rsidRDefault="003320CE" w:rsidP="003320CE">
      <w:pPr>
        <w:pStyle w:val="2"/>
        <w:ind w:leftChars="0" w:left="480" w:firstLine="480"/>
        <w:rPr>
          <w:rFonts w:hint="eastAsia"/>
        </w:rPr>
      </w:pPr>
    </w:p>
    <w:p w:rsidR="003320CE" w:rsidRDefault="003320CE" w:rsidP="003320CE">
      <w:pPr>
        <w:spacing w:line="600" w:lineRule="exact"/>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第九届中国创新创业大赛河南赛区平顶山分赛区（以下简称大赛）坚持“科学规范、公开透明、公平公正”的原则，通过大赛的评审选拔一批优质企业，特制</w:t>
      </w:r>
      <w:proofErr w:type="gramStart"/>
      <w:r>
        <w:rPr>
          <w:rFonts w:ascii="仿宋_GB2312" w:eastAsia="仿宋_GB2312" w:hAnsi="仿宋_GB2312" w:cs="仿宋_GB2312" w:hint="eastAsia"/>
          <w:sz w:val="32"/>
          <w:szCs w:val="32"/>
        </w:rPr>
        <w:t>定本次</w:t>
      </w:r>
      <w:proofErr w:type="gramEnd"/>
      <w:r>
        <w:rPr>
          <w:rFonts w:ascii="仿宋_GB2312" w:eastAsia="仿宋_GB2312" w:hAnsi="仿宋_GB2312" w:cs="仿宋_GB2312" w:hint="eastAsia"/>
          <w:sz w:val="32"/>
          <w:szCs w:val="32"/>
        </w:rPr>
        <w:t>评审工作方案。</w:t>
      </w:r>
    </w:p>
    <w:p w:rsidR="003320CE" w:rsidRDefault="003320CE" w:rsidP="003320CE">
      <w:pPr>
        <w:pStyle w:val="a4"/>
        <w:widowControl/>
        <w:spacing w:before="0" w:beforeAutospacing="0" w:after="0" w:afterAutospacing="0" w:line="600" w:lineRule="exact"/>
        <w:ind w:firstLineChars="200" w:firstLine="640"/>
        <w:jc w:val="both"/>
        <w:rPr>
          <w:rFonts w:ascii="黑体" w:eastAsia="黑体" w:hAnsi="黑体" w:cs="微软雅黑" w:hint="eastAsia"/>
          <w:sz w:val="32"/>
          <w:szCs w:val="32"/>
        </w:rPr>
      </w:pPr>
      <w:r>
        <w:rPr>
          <w:rFonts w:ascii="黑体" w:eastAsia="黑体" w:hAnsi="黑体" w:cs="微软雅黑" w:hint="eastAsia"/>
          <w:sz w:val="32"/>
          <w:szCs w:val="32"/>
        </w:rPr>
        <w:t>一、评审要求</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（一）遵循公开、公平、公正、竞争择优的原则，主要依据市场化标准对参赛企业进行评审。</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（二）评委应参考大赛规定的工作标准，把握好评审的统一性和一致性。</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（三）评委应根据参赛企业提供的答辩材料以及其他附件说明材料，按照规定的评审要求，独立、客观、公正、科学地对被评选企业进行评价和评分，并提供专业性的评价意见。</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（四）评委如与参赛企业存在利益关系应主动向大赛组委会办公室提出回避。</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（五）评委不得利用其特殊身份和影响，采取非正常手段为参赛企业提供便利。</w:t>
      </w:r>
    </w:p>
    <w:p w:rsidR="003320CE" w:rsidRDefault="003320CE" w:rsidP="003320CE">
      <w:pPr>
        <w:pStyle w:val="a4"/>
        <w:widowControl/>
        <w:spacing w:before="0" w:beforeAutospacing="0" w:after="0" w:afterAutospacing="0" w:line="600" w:lineRule="exact"/>
        <w:ind w:left="200" w:firstLineChars="150" w:firstLine="480"/>
        <w:jc w:val="both"/>
        <w:rPr>
          <w:rFonts w:ascii="黑体" w:eastAsia="黑体" w:hAnsi="黑体" w:cs="仿宋_GB2312" w:hint="eastAsia"/>
          <w:sz w:val="32"/>
          <w:szCs w:val="32"/>
        </w:rPr>
      </w:pPr>
      <w:r>
        <w:rPr>
          <w:rFonts w:ascii="黑体" w:eastAsia="黑体" w:hAnsi="黑体" w:cs="微软雅黑" w:hint="eastAsia"/>
          <w:sz w:val="32"/>
          <w:szCs w:val="32"/>
        </w:rPr>
        <w:t>二、评审工作安排</w:t>
      </w:r>
    </w:p>
    <w:p w:rsidR="003320CE" w:rsidRDefault="003320CE" w:rsidP="003320CE">
      <w:pPr>
        <w:pStyle w:val="a4"/>
        <w:widowControl/>
        <w:spacing w:before="0" w:beforeAutospacing="0" w:after="0" w:afterAutospacing="0" w:line="600" w:lineRule="exact"/>
        <w:ind w:firstLineChars="200" w:firstLine="640"/>
        <w:jc w:val="both"/>
        <w:rPr>
          <w:rFonts w:ascii="楷体" w:eastAsia="楷体" w:hAnsi="楷体" w:cs="楷体" w:hint="eastAsia"/>
          <w:sz w:val="32"/>
          <w:szCs w:val="32"/>
        </w:rPr>
      </w:pPr>
      <w:r>
        <w:rPr>
          <w:rFonts w:ascii="楷体" w:eastAsia="楷体" w:hAnsi="楷体" w:cs="楷体" w:hint="eastAsia"/>
          <w:sz w:val="32"/>
          <w:szCs w:val="32"/>
        </w:rPr>
        <w:lastRenderedPageBreak/>
        <w:t>（一）复赛时间</w:t>
      </w:r>
    </w:p>
    <w:p w:rsidR="003320CE" w:rsidRDefault="003320CE" w:rsidP="003320CE">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2020年8月27日8:00-18：00（全天）。</w:t>
      </w:r>
    </w:p>
    <w:p w:rsidR="003320CE" w:rsidRDefault="003320CE" w:rsidP="003320CE">
      <w:pPr>
        <w:widowControl/>
        <w:numPr>
          <w:ilvl w:val="0"/>
          <w:numId w:val="1"/>
        </w:numPr>
        <w:spacing w:line="60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复赛地点</w:t>
      </w:r>
    </w:p>
    <w:p w:rsidR="003320CE" w:rsidRDefault="003320CE" w:rsidP="003320CE">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平顶山高新</w:t>
      </w:r>
      <w:proofErr w:type="gramStart"/>
      <w:r>
        <w:rPr>
          <w:rFonts w:ascii="仿宋_GB2312" w:eastAsia="仿宋_GB2312" w:hAnsi="仿宋_GB2312" w:cs="仿宋_GB2312" w:hint="eastAsia"/>
          <w:sz w:val="32"/>
          <w:szCs w:val="32"/>
        </w:rPr>
        <w:t>火炬园</w:t>
      </w:r>
      <w:proofErr w:type="gramEnd"/>
      <w:r>
        <w:rPr>
          <w:rFonts w:ascii="仿宋_GB2312" w:eastAsia="仿宋_GB2312" w:hAnsi="仿宋_GB2312" w:cs="仿宋_GB2312" w:hint="eastAsia"/>
          <w:sz w:val="32"/>
          <w:szCs w:val="32"/>
        </w:rPr>
        <w:t>一楼多功能厅（平顶山高新区神马大道东段666号）。</w:t>
      </w:r>
    </w:p>
    <w:p w:rsidR="003320CE" w:rsidRDefault="003320CE" w:rsidP="003320CE">
      <w:pPr>
        <w:pStyle w:val="a4"/>
        <w:widowControl/>
        <w:spacing w:before="0" w:beforeAutospacing="0" w:after="0" w:afterAutospacing="0" w:line="600" w:lineRule="exact"/>
        <w:ind w:firstLineChars="200" w:firstLine="640"/>
        <w:jc w:val="both"/>
        <w:rPr>
          <w:rFonts w:ascii="楷体" w:eastAsia="楷体" w:hAnsi="楷体" w:cs="楷体" w:hint="eastAsia"/>
          <w:sz w:val="32"/>
          <w:szCs w:val="32"/>
        </w:rPr>
      </w:pPr>
      <w:r>
        <w:rPr>
          <w:rFonts w:ascii="楷体" w:eastAsia="楷体" w:hAnsi="楷体" w:cs="楷体" w:hint="eastAsia"/>
          <w:sz w:val="32"/>
          <w:szCs w:val="32"/>
        </w:rPr>
        <w:t>（三）复赛评审</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1.评审形式</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因疫情期间，复赛采取封闭式评审、当场出分数的评选形式进行。</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复赛评委构成：每组5名专家评委，设组长一名。评审前，专家</w:t>
      </w:r>
      <w:r>
        <w:rPr>
          <w:rFonts w:ascii="仿宋_GB2312" w:eastAsia="仿宋_GB2312" w:hAnsi="仿宋_GB2312" w:cs="仿宋_GB2312" w:hint="eastAsia"/>
          <w:kern w:val="2"/>
          <w:sz w:val="32"/>
          <w:szCs w:val="32"/>
        </w:rPr>
        <w:t>评委</w:t>
      </w:r>
      <w:proofErr w:type="gramStart"/>
      <w:r>
        <w:rPr>
          <w:rFonts w:ascii="仿宋_GB2312" w:eastAsia="仿宋_GB2312" w:hAnsi="仿宋_GB2312" w:cs="仿宋_GB2312" w:hint="eastAsia"/>
          <w:kern w:val="2"/>
          <w:sz w:val="32"/>
          <w:szCs w:val="32"/>
        </w:rPr>
        <w:t>须签署</w:t>
      </w:r>
      <w:proofErr w:type="gramEnd"/>
      <w:r>
        <w:rPr>
          <w:rFonts w:ascii="仿宋_GB2312" w:eastAsia="仿宋_GB2312" w:hAnsi="仿宋_GB2312" w:cs="仿宋_GB2312" w:hint="eastAsia"/>
          <w:kern w:val="2"/>
          <w:sz w:val="32"/>
          <w:szCs w:val="32"/>
        </w:rPr>
        <w:t>《中国创新创业大赛创投评委承诺书》。</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参赛人员要求：入围复赛的企业选派1名代表进行现场答辩，该代表应为企业的核心人员（如创始人、CEO等），并具有较好的陈述表达能力。</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2.评审细则</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（1）复赛采用8+5模式的答辩评选模式：参赛选手PPT</w:t>
      </w:r>
    </w:p>
    <w:p w:rsidR="003320CE" w:rsidRDefault="003320CE" w:rsidP="003320CE">
      <w:pPr>
        <w:pStyle w:val="a4"/>
        <w:widowControl/>
        <w:spacing w:before="0" w:beforeAutospacing="0" w:after="0" w:afterAutospacing="0" w:line="600" w:lineRule="exact"/>
        <w:ind w:firstLine="2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汇报8分钟，评委提问5分钟；</w:t>
      </w:r>
    </w:p>
    <w:p w:rsidR="003320CE" w:rsidRDefault="003320CE" w:rsidP="003320CE">
      <w:pPr>
        <w:pStyle w:val="a4"/>
        <w:widowControl/>
        <w:numPr>
          <w:ilvl w:val="0"/>
          <w:numId w:val="2"/>
        </w:numPr>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每位参赛选手将同时接受5名创投评委的现场评分；</w:t>
      </w:r>
    </w:p>
    <w:p w:rsidR="003320CE" w:rsidRDefault="003320CE" w:rsidP="003320CE">
      <w:pPr>
        <w:pStyle w:val="a4"/>
        <w:widowControl/>
        <w:numPr>
          <w:ilvl w:val="0"/>
          <w:numId w:val="2"/>
        </w:numPr>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每组5位评委为选手评分的平均分视为选手复赛最终得分，并将现场公布最终得分；</w:t>
      </w:r>
    </w:p>
    <w:p w:rsidR="003320CE" w:rsidRDefault="003320CE" w:rsidP="003320CE">
      <w:pPr>
        <w:pStyle w:val="a4"/>
        <w:widowControl/>
        <w:numPr>
          <w:ilvl w:val="0"/>
          <w:numId w:val="2"/>
        </w:numPr>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参赛选手现场领取成绩表并签字确认。</w:t>
      </w:r>
    </w:p>
    <w:p w:rsidR="003320CE" w:rsidRDefault="003320CE" w:rsidP="003320CE">
      <w:pPr>
        <w:pStyle w:val="a4"/>
        <w:widowControl/>
        <w:numPr>
          <w:ilvl w:val="0"/>
          <w:numId w:val="2"/>
        </w:numPr>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按参赛选手的最终得分排名，选出晋级决赛的企</w:t>
      </w:r>
    </w:p>
    <w:p w:rsidR="003320CE" w:rsidRDefault="003320CE" w:rsidP="003320CE">
      <w:pPr>
        <w:pStyle w:val="a4"/>
        <w:widowControl/>
        <w:spacing w:before="0" w:beforeAutospacing="0" w:after="0" w:afterAutospacing="0" w:line="600" w:lineRule="exact"/>
        <w:ind w:firstLine="2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业名单。</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（6）当比赛结果发生并列情况时，经评委内部讨论一</w:t>
      </w:r>
    </w:p>
    <w:p w:rsidR="003320CE" w:rsidRDefault="003320CE" w:rsidP="003320CE">
      <w:pPr>
        <w:pStyle w:val="a4"/>
        <w:widowControl/>
        <w:spacing w:before="0" w:beforeAutospacing="0" w:after="0" w:afterAutospacing="0" w:line="600" w:lineRule="exact"/>
        <w:ind w:firstLine="2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致后，由评委组长宣布最终结果。</w:t>
      </w:r>
    </w:p>
    <w:p w:rsidR="003320CE" w:rsidRDefault="003320CE" w:rsidP="003320CE">
      <w:pPr>
        <w:pStyle w:val="a4"/>
        <w:widowControl/>
        <w:spacing w:before="0" w:beforeAutospacing="0" w:after="0" w:afterAutospacing="0" w:line="600" w:lineRule="exact"/>
        <w:ind w:firstLine="2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（7）评审期间全程录像。</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3.评分要求</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评委按照国家统一评分表，分别对初创组、</w:t>
      </w:r>
      <w:proofErr w:type="gramStart"/>
      <w:r>
        <w:rPr>
          <w:rFonts w:ascii="仿宋_GB2312" w:eastAsia="仿宋_GB2312" w:hAnsi="仿宋_GB2312" w:cs="仿宋_GB2312" w:hint="eastAsia"/>
          <w:sz w:val="32"/>
          <w:szCs w:val="32"/>
        </w:rPr>
        <w:t>成长组</w:t>
      </w:r>
      <w:proofErr w:type="gramEnd"/>
      <w:r>
        <w:rPr>
          <w:rFonts w:ascii="仿宋_GB2312" w:eastAsia="仿宋_GB2312" w:hAnsi="仿宋_GB2312" w:cs="仿宋_GB2312" w:hint="eastAsia"/>
          <w:sz w:val="32"/>
          <w:szCs w:val="32"/>
        </w:rPr>
        <w:t>的评分标准进行现场打分，填写评审得分、意见并签名,评审结束后，本组评委在《评分汇总表》上统一签字确认。评分标准如下：</w:t>
      </w:r>
    </w:p>
    <w:tbl>
      <w:tblPr>
        <w:tblStyle w:val="a5"/>
        <w:tblW w:w="8520" w:type="dxa"/>
        <w:jc w:val="center"/>
        <w:tblInd w:w="0" w:type="dxa"/>
        <w:tblLayout w:type="fixed"/>
        <w:tblLook w:val="04A0" w:firstRow="1" w:lastRow="0" w:firstColumn="1" w:lastColumn="0" w:noHBand="0" w:noVBand="1"/>
      </w:tblPr>
      <w:tblGrid>
        <w:gridCol w:w="2840"/>
        <w:gridCol w:w="2840"/>
        <w:gridCol w:w="2840"/>
      </w:tblGrid>
      <w:tr w:rsidR="003320CE" w:rsidTr="003320CE">
        <w:trPr>
          <w:trHeight w:hRule="exact" w:val="567"/>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b/>
                <w:bCs/>
                <w:kern w:val="2"/>
                <w:sz w:val="28"/>
                <w:szCs w:val="22"/>
              </w:rPr>
            </w:pPr>
            <w:r>
              <w:rPr>
                <w:rFonts w:ascii="仿宋_GB2312" w:eastAsia="仿宋_GB2312" w:hAnsi="仿宋_GB2312" w:cs="仿宋_GB2312" w:hint="eastAsia"/>
                <w:b/>
                <w:bCs/>
                <w:sz w:val="28"/>
                <w:szCs w:val="22"/>
              </w:rPr>
              <w:t>评价内容</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b/>
                <w:bCs/>
                <w:kern w:val="2"/>
                <w:sz w:val="28"/>
                <w:szCs w:val="22"/>
              </w:rPr>
            </w:pPr>
            <w:r>
              <w:rPr>
                <w:rFonts w:ascii="仿宋_GB2312" w:eastAsia="仿宋_GB2312" w:hAnsi="仿宋_GB2312" w:cs="仿宋_GB2312" w:hint="eastAsia"/>
                <w:b/>
                <w:bCs/>
                <w:sz w:val="28"/>
                <w:szCs w:val="22"/>
              </w:rPr>
              <w:t>分值（初创组）</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b/>
                <w:bCs/>
                <w:kern w:val="2"/>
                <w:sz w:val="28"/>
                <w:szCs w:val="22"/>
              </w:rPr>
            </w:pPr>
            <w:r>
              <w:rPr>
                <w:rFonts w:ascii="仿宋_GB2312" w:eastAsia="仿宋_GB2312" w:hAnsi="仿宋_GB2312" w:cs="仿宋_GB2312" w:hint="eastAsia"/>
                <w:b/>
                <w:bCs/>
                <w:sz w:val="28"/>
                <w:szCs w:val="22"/>
              </w:rPr>
              <w:t>分值（成长组）</w:t>
            </w:r>
          </w:p>
        </w:tc>
      </w:tr>
      <w:tr w:rsidR="003320CE" w:rsidTr="003320CE">
        <w:trPr>
          <w:trHeight w:hRule="exact" w:val="567"/>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技术和产品</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30</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30</w:t>
            </w:r>
          </w:p>
        </w:tc>
      </w:tr>
      <w:tr w:rsidR="003320CE" w:rsidTr="003320CE">
        <w:trPr>
          <w:trHeight w:hRule="exact" w:val="567"/>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商业模式及实施方案</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15</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15</w:t>
            </w:r>
          </w:p>
        </w:tc>
      </w:tr>
      <w:tr w:rsidR="003320CE" w:rsidTr="003320CE">
        <w:trPr>
          <w:trHeight w:hRule="exact" w:val="567"/>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行业及市场</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20</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20</w:t>
            </w:r>
          </w:p>
        </w:tc>
      </w:tr>
      <w:tr w:rsidR="003320CE" w:rsidTr="003320CE">
        <w:trPr>
          <w:trHeight w:hRule="exact" w:val="567"/>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团队</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30</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25</w:t>
            </w:r>
          </w:p>
        </w:tc>
      </w:tr>
      <w:tr w:rsidR="003320CE" w:rsidTr="003320CE">
        <w:trPr>
          <w:trHeight w:hRule="exact" w:val="567"/>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财务分析</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5</w:t>
            </w:r>
          </w:p>
        </w:tc>
        <w:tc>
          <w:tcPr>
            <w:tcW w:w="2841" w:type="dxa"/>
            <w:tcBorders>
              <w:top w:val="single" w:sz="4" w:space="0" w:color="auto"/>
              <w:left w:val="single" w:sz="4" w:space="0" w:color="auto"/>
              <w:bottom w:val="single" w:sz="4" w:space="0" w:color="auto"/>
              <w:right w:val="single" w:sz="4" w:space="0" w:color="auto"/>
            </w:tcBorders>
            <w:vAlign w:val="center"/>
            <w:hideMark/>
          </w:tcPr>
          <w:p w:rsidR="003320CE" w:rsidRDefault="003320CE">
            <w:pPr>
              <w:spacing w:line="360" w:lineRule="auto"/>
              <w:ind w:firstLine="200"/>
              <w:jc w:val="center"/>
              <w:rPr>
                <w:rFonts w:ascii="仿宋_GB2312" w:eastAsia="仿宋_GB2312" w:hAnsi="仿宋_GB2312" w:cs="仿宋_GB2312"/>
                <w:kern w:val="2"/>
                <w:sz w:val="28"/>
                <w:szCs w:val="22"/>
              </w:rPr>
            </w:pPr>
            <w:r>
              <w:rPr>
                <w:rFonts w:ascii="仿宋_GB2312" w:eastAsia="仿宋_GB2312" w:hAnsi="仿宋_GB2312" w:cs="仿宋_GB2312" w:hint="eastAsia"/>
                <w:sz w:val="28"/>
                <w:szCs w:val="22"/>
              </w:rPr>
              <w:t>10</w:t>
            </w:r>
          </w:p>
        </w:tc>
      </w:tr>
    </w:tbl>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4.分组方式</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平顶山分赛区复赛项目共68项，分两组评审。一组包括</w:t>
      </w:r>
      <w:proofErr w:type="gramStart"/>
      <w:r>
        <w:rPr>
          <w:rFonts w:ascii="仿宋_GB2312" w:eastAsia="仿宋_GB2312" w:hAnsi="仿宋_GB2312" w:cs="仿宋_GB2312" w:hint="eastAsia"/>
          <w:sz w:val="32"/>
          <w:szCs w:val="32"/>
        </w:rPr>
        <w:t>初创组项目</w:t>
      </w:r>
      <w:proofErr w:type="gramEnd"/>
      <w:r>
        <w:rPr>
          <w:rFonts w:ascii="仿宋_GB2312" w:eastAsia="仿宋_GB2312" w:hAnsi="仿宋_GB2312" w:cs="仿宋_GB2312" w:hint="eastAsia"/>
          <w:sz w:val="32"/>
          <w:szCs w:val="32"/>
        </w:rPr>
        <w:t>12个、</w:t>
      </w:r>
      <w:proofErr w:type="gramStart"/>
      <w:r>
        <w:rPr>
          <w:rFonts w:ascii="仿宋_GB2312" w:eastAsia="仿宋_GB2312" w:hAnsi="仿宋_GB2312" w:cs="仿宋_GB2312" w:hint="eastAsia"/>
          <w:sz w:val="32"/>
          <w:szCs w:val="32"/>
        </w:rPr>
        <w:t>成长组</w:t>
      </w:r>
      <w:proofErr w:type="gramEnd"/>
      <w:r>
        <w:rPr>
          <w:rFonts w:ascii="仿宋_GB2312" w:eastAsia="仿宋_GB2312" w:hAnsi="仿宋_GB2312" w:cs="仿宋_GB2312" w:hint="eastAsia"/>
          <w:sz w:val="32"/>
          <w:szCs w:val="32"/>
        </w:rPr>
        <w:t>新材料行业参赛项目20个，共计32家企业；二</w:t>
      </w:r>
      <w:proofErr w:type="gramStart"/>
      <w:r>
        <w:rPr>
          <w:rFonts w:ascii="仿宋_GB2312" w:eastAsia="仿宋_GB2312" w:hAnsi="仿宋_GB2312" w:cs="仿宋_GB2312" w:hint="eastAsia"/>
          <w:sz w:val="32"/>
          <w:szCs w:val="32"/>
        </w:rPr>
        <w:t>组成长组</w:t>
      </w:r>
      <w:proofErr w:type="gramEnd"/>
      <w:r>
        <w:rPr>
          <w:rFonts w:ascii="仿宋_GB2312" w:eastAsia="仿宋_GB2312" w:hAnsi="仿宋_GB2312" w:cs="仿宋_GB2312" w:hint="eastAsia"/>
          <w:sz w:val="32"/>
          <w:szCs w:val="32"/>
        </w:rPr>
        <w:t>(新材料行业参赛项目除外)项目36家企业。</w:t>
      </w:r>
    </w:p>
    <w:p w:rsidR="003320CE" w:rsidRDefault="003320CE" w:rsidP="003320CE">
      <w:pPr>
        <w:pStyle w:val="a4"/>
        <w:widowControl/>
        <w:spacing w:before="0" w:beforeAutospacing="0" w:after="0" w:afterAutospacing="0" w:line="60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（四）晋级决赛</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按照河南赛区组委会办公室分配的晋级名额要求，将根据比例，初创组、</w:t>
      </w:r>
      <w:proofErr w:type="gramStart"/>
      <w:r>
        <w:rPr>
          <w:rFonts w:ascii="仿宋_GB2312" w:eastAsia="仿宋_GB2312" w:hAnsi="仿宋_GB2312" w:cs="仿宋_GB2312" w:hint="eastAsia"/>
          <w:sz w:val="32"/>
          <w:szCs w:val="32"/>
        </w:rPr>
        <w:t>成长组</w:t>
      </w:r>
      <w:proofErr w:type="gramEnd"/>
      <w:r>
        <w:rPr>
          <w:rFonts w:ascii="仿宋_GB2312" w:eastAsia="仿宋_GB2312" w:hAnsi="仿宋_GB2312" w:cs="仿宋_GB2312" w:hint="eastAsia"/>
          <w:sz w:val="32"/>
          <w:szCs w:val="32"/>
        </w:rPr>
        <w:t>企业按照复赛成绩从高到低依次推荐进入河南赛区决赛。</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（五）尽职调查及公示</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晋级决赛的企业，平顶山市创新创业大赛组委会办公室按照河南省大赛组委会对尽职调查的统一要求，组织大赛支持机构对晋级企业开展尽职调查工作，尽职调查的结果将直接影响企业决赛评审分数，不接受尽职调查的企业不得推荐入围决赛，并视为自动放弃比赛。</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平顶山分赛区将对晋级决赛、通过尽职调查的企业进行公示。</w:t>
      </w:r>
    </w:p>
    <w:p w:rsidR="003320CE" w:rsidRDefault="003320CE" w:rsidP="003320CE">
      <w:pPr>
        <w:pStyle w:val="a4"/>
        <w:widowControl/>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尽职调查及公示时间：8月下旬。</w:t>
      </w:r>
    </w:p>
    <w:p w:rsidR="003320CE" w:rsidRDefault="003320CE" w:rsidP="003320CE">
      <w:pPr>
        <w:pStyle w:val="a4"/>
        <w:widowControl/>
        <w:spacing w:before="0" w:beforeAutospacing="0" w:after="0" w:afterAutospacing="0" w:line="600" w:lineRule="exact"/>
        <w:ind w:firstLineChars="200" w:firstLine="640"/>
        <w:jc w:val="both"/>
        <w:rPr>
          <w:rFonts w:ascii="仿宋" w:eastAsia="仿宋" w:hAnsi="仿宋" w:cs="仿宋_GB2312" w:hint="eastAsia"/>
          <w:sz w:val="32"/>
          <w:szCs w:val="32"/>
        </w:rPr>
      </w:pPr>
    </w:p>
    <w:p w:rsidR="003320CE" w:rsidRDefault="003320CE" w:rsidP="003320CE">
      <w:pPr>
        <w:spacing w:line="360" w:lineRule="auto"/>
        <w:ind w:firstLine="200"/>
        <w:rPr>
          <w:rFonts w:ascii="仿宋" w:eastAsia="仿宋" w:hAnsi="仿宋" w:hint="eastAsia"/>
          <w:b/>
          <w:bCs/>
          <w:sz w:val="32"/>
          <w:szCs w:val="32"/>
        </w:rPr>
      </w:pPr>
    </w:p>
    <w:p w:rsidR="003320CE" w:rsidRDefault="003320CE" w:rsidP="003320CE">
      <w:pPr>
        <w:spacing w:line="360" w:lineRule="auto"/>
        <w:ind w:firstLine="200"/>
        <w:rPr>
          <w:rFonts w:ascii="仿宋" w:eastAsia="仿宋" w:hAnsi="仿宋" w:cs="微软雅黑" w:hint="eastAsia"/>
          <w:b/>
          <w:bCs/>
          <w:sz w:val="32"/>
          <w:szCs w:val="32"/>
        </w:rPr>
      </w:pPr>
    </w:p>
    <w:p w:rsidR="003320CE" w:rsidRDefault="003320CE" w:rsidP="003320CE">
      <w:pPr>
        <w:spacing w:line="360" w:lineRule="auto"/>
        <w:ind w:firstLineChars="950" w:firstLine="3052"/>
        <w:rPr>
          <w:rFonts w:ascii="仿宋_GB2312" w:eastAsia="仿宋_GB2312" w:hAnsi="仿宋_GB2312" w:cs="仿宋_GB2312" w:hint="eastAsia"/>
          <w:b/>
          <w:bCs/>
          <w:sz w:val="32"/>
          <w:szCs w:val="32"/>
        </w:rPr>
      </w:pPr>
      <w:r>
        <w:rPr>
          <w:rFonts w:ascii="仿宋" w:eastAsia="仿宋" w:hAnsi="仿宋" w:cs="微软雅黑" w:hint="eastAsia"/>
          <w:b/>
          <w:bCs/>
          <w:sz w:val="32"/>
          <w:szCs w:val="32"/>
        </w:rPr>
        <w:t xml:space="preserve">       </w:t>
      </w:r>
      <w:r>
        <w:rPr>
          <w:rFonts w:ascii="仿宋_GB2312" w:eastAsia="仿宋_GB2312" w:hAnsi="仿宋_GB2312" w:cs="仿宋_GB2312" w:hint="eastAsia"/>
          <w:b/>
          <w:bCs/>
          <w:sz w:val="32"/>
          <w:szCs w:val="32"/>
        </w:rPr>
        <w:t xml:space="preserve">                 </w:t>
      </w:r>
    </w:p>
    <w:p w:rsidR="003320CE" w:rsidRDefault="003320CE" w:rsidP="003320CE">
      <w:pPr>
        <w:ind w:firstLineChars="1400" w:firstLine="4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平顶山分赛区大赛组委会</w:t>
      </w:r>
    </w:p>
    <w:p w:rsidR="003320CE" w:rsidRDefault="003320CE" w:rsidP="003320CE">
      <w:pPr>
        <w:spacing w:line="360" w:lineRule="auto"/>
        <w:ind w:firstLine="200"/>
        <w:jc w:val="center"/>
        <w:rPr>
          <w:rFonts w:ascii="仿宋_GB2312" w:eastAsia="仿宋_GB2312" w:hAnsi="仿宋_GB2312" w:cs="仿宋_GB2312" w:hint="eastAsia"/>
        </w:rPr>
      </w:pPr>
      <w:r>
        <w:rPr>
          <w:rFonts w:ascii="仿宋_GB2312" w:eastAsia="仿宋_GB2312" w:hAnsi="仿宋_GB2312" w:cs="仿宋_GB2312" w:hint="eastAsia"/>
          <w:sz w:val="32"/>
          <w:szCs w:val="32"/>
        </w:rPr>
        <w:t xml:space="preserve">                                2020年8月19日</w:t>
      </w:r>
    </w:p>
    <w:p w:rsidR="003320CE" w:rsidRDefault="003320CE" w:rsidP="003320CE">
      <w:pPr>
        <w:pStyle w:val="a4"/>
        <w:widowControl/>
        <w:spacing w:before="0" w:beforeAutospacing="0" w:after="0" w:afterAutospacing="0" w:line="360" w:lineRule="auto"/>
        <w:jc w:val="both"/>
        <w:rPr>
          <w:rFonts w:ascii="仿宋_GB2312" w:eastAsia="仿宋_GB2312" w:hAnsi="仿宋_GB2312" w:cs="仿宋_GB2312" w:hint="eastAsia"/>
          <w:sz w:val="32"/>
          <w:szCs w:val="32"/>
        </w:rPr>
      </w:pPr>
    </w:p>
    <w:p w:rsidR="003320CE" w:rsidRDefault="003320CE" w:rsidP="003320CE">
      <w:pPr>
        <w:pStyle w:val="a4"/>
        <w:widowControl/>
        <w:spacing w:before="0" w:beforeAutospacing="0" w:after="0" w:afterAutospacing="0" w:line="360" w:lineRule="auto"/>
        <w:jc w:val="both"/>
        <w:rPr>
          <w:rFonts w:ascii="仿宋_GB2312" w:eastAsia="仿宋_GB2312" w:hAnsi="仿宋_GB2312" w:cs="仿宋_GB2312" w:hint="eastAsia"/>
          <w:sz w:val="32"/>
          <w:szCs w:val="32"/>
        </w:rPr>
      </w:pPr>
    </w:p>
    <w:p w:rsidR="00F8314F" w:rsidRDefault="00F8314F">
      <w:bookmarkStart w:id="0" w:name="_GoBack"/>
      <w:bookmarkEnd w:id="0"/>
    </w:p>
    <w:sectPr w:rsidR="00F831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chineseCounting"/>
      <w:suff w:val="nothing"/>
      <w:lvlText w:val="（%1）"/>
      <w:lvlJc w:val="left"/>
      <w:pPr>
        <w:ind w:left="0" w:firstLine="0"/>
      </w:pPr>
    </w:lvl>
  </w:abstractNum>
  <w:abstractNum w:abstractNumId="1">
    <w:nsid w:val="00000003"/>
    <w:multiLevelType w:val="singleLevel"/>
    <w:tmpl w:val="00000003"/>
    <w:lvl w:ilvl="0">
      <w:start w:val="2"/>
      <w:numFmt w:val="decimal"/>
      <w:suff w:val="nothing"/>
      <w:lvlText w:val="（%1）"/>
      <w:lvlJc w:val="left"/>
      <w:pPr>
        <w:ind w:left="0" w:firstLine="0"/>
      </w:pPr>
    </w:lvl>
  </w:abstractNum>
  <w:num w:numId="1">
    <w:abstractNumId w:val="0"/>
    <w:lvlOverride w:ilvl="0">
      <w:startOverride w:val="2"/>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CE"/>
    <w:rsid w:val="003320CE"/>
    <w:rsid w:val="00F8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320CE"/>
    <w:pPr>
      <w:widowControl w:val="0"/>
      <w:jc w:val="both"/>
    </w:pPr>
    <w:rPr>
      <w:rFonts w:ascii="Times New Roman" w:eastAsia="宋体" w:hAnsi="Times New Roman" w:cs="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320CE"/>
    <w:pPr>
      <w:spacing w:after="120"/>
      <w:ind w:leftChars="200" w:left="420"/>
    </w:pPr>
  </w:style>
  <w:style w:type="character" w:customStyle="1" w:styleId="Char">
    <w:name w:val="正文文本缩进 Char"/>
    <w:basedOn w:val="a0"/>
    <w:link w:val="a3"/>
    <w:uiPriority w:val="99"/>
    <w:semiHidden/>
    <w:rsid w:val="003320CE"/>
    <w:rPr>
      <w:rFonts w:ascii="Times New Roman" w:eastAsia="宋体" w:hAnsi="Times New Roman" w:cs="黑体"/>
      <w:sz w:val="24"/>
      <w:szCs w:val="24"/>
    </w:rPr>
  </w:style>
  <w:style w:type="paragraph" w:styleId="2">
    <w:name w:val="Body Text First Indent 2"/>
    <w:basedOn w:val="a3"/>
    <w:link w:val="2Char"/>
    <w:semiHidden/>
    <w:unhideWhenUsed/>
    <w:qFormat/>
    <w:rsid w:val="003320CE"/>
    <w:pPr>
      <w:ind w:firstLineChars="200" w:firstLine="420"/>
    </w:pPr>
  </w:style>
  <w:style w:type="character" w:customStyle="1" w:styleId="2Char">
    <w:name w:val="正文首行缩进 2 Char"/>
    <w:basedOn w:val="Char"/>
    <w:link w:val="2"/>
    <w:semiHidden/>
    <w:rsid w:val="003320CE"/>
    <w:rPr>
      <w:rFonts w:ascii="Times New Roman" w:eastAsia="宋体" w:hAnsi="Times New Roman" w:cs="黑体"/>
      <w:sz w:val="24"/>
      <w:szCs w:val="24"/>
    </w:rPr>
  </w:style>
  <w:style w:type="paragraph" w:styleId="a4">
    <w:name w:val="Normal (Web)"/>
    <w:basedOn w:val="a"/>
    <w:semiHidden/>
    <w:unhideWhenUsed/>
    <w:qFormat/>
    <w:rsid w:val="003320CE"/>
    <w:pPr>
      <w:spacing w:before="100" w:beforeAutospacing="1" w:after="100" w:afterAutospacing="1"/>
      <w:jc w:val="left"/>
    </w:pPr>
    <w:rPr>
      <w:rFonts w:cs="Times New Roman"/>
      <w:kern w:val="0"/>
    </w:rPr>
  </w:style>
  <w:style w:type="table" w:styleId="a5">
    <w:name w:val="Table Grid"/>
    <w:basedOn w:val="a1"/>
    <w:qFormat/>
    <w:rsid w:val="003320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320CE"/>
    <w:pPr>
      <w:widowControl w:val="0"/>
      <w:jc w:val="both"/>
    </w:pPr>
    <w:rPr>
      <w:rFonts w:ascii="Times New Roman" w:eastAsia="宋体" w:hAnsi="Times New Roman" w:cs="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320CE"/>
    <w:pPr>
      <w:spacing w:after="120"/>
      <w:ind w:leftChars="200" w:left="420"/>
    </w:pPr>
  </w:style>
  <w:style w:type="character" w:customStyle="1" w:styleId="Char">
    <w:name w:val="正文文本缩进 Char"/>
    <w:basedOn w:val="a0"/>
    <w:link w:val="a3"/>
    <w:uiPriority w:val="99"/>
    <w:semiHidden/>
    <w:rsid w:val="003320CE"/>
    <w:rPr>
      <w:rFonts w:ascii="Times New Roman" w:eastAsia="宋体" w:hAnsi="Times New Roman" w:cs="黑体"/>
      <w:sz w:val="24"/>
      <w:szCs w:val="24"/>
    </w:rPr>
  </w:style>
  <w:style w:type="paragraph" w:styleId="2">
    <w:name w:val="Body Text First Indent 2"/>
    <w:basedOn w:val="a3"/>
    <w:link w:val="2Char"/>
    <w:semiHidden/>
    <w:unhideWhenUsed/>
    <w:qFormat/>
    <w:rsid w:val="003320CE"/>
    <w:pPr>
      <w:ind w:firstLineChars="200" w:firstLine="420"/>
    </w:pPr>
  </w:style>
  <w:style w:type="character" w:customStyle="1" w:styleId="2Char">
    <w:name w:val="正文首行缩进 2 Char"/>
    <w:basedOn w:val="Char"/>
    <w:link w:val="2"/>
    <w:semiHidden/>
    <w:rsid w:val="003320CE"/>
    <w:rPr>
      <w:rFonts w:ascii="Times New Roman" w:eastAsia="宋体" w:hAnsi="Times New Roman" w:cs="黑体"/>
      <w:sz w:val="24"/>
      <w:szCs w:val="24"/>
    </w:rPr>
  </w:style>
  <w:style w:type="paragraph" w:styleId="a4">
    <w:name w:val="Normal (Web)"/>
    <w:basedOn w:val="a"/>
    <w:semiHidden/>
    <w:unhideWhenUsed/>
    <w:qFormat/>
    <w:rsid w:val="003320CE"/>
    <w:pPr>
      <w:spacing w:before="100" w:beforeAutospacing="1" w:after="100" w:afterAutospacing="1"/>
      <w:jc w:val="left"/>
    </w:pPr>
    <w:rPr>
      <w:rFonts w:cs="Times New Roman"/>
      <w:kern w:val="0"/>
    </w:rPr>
  </w:style>
  <w:style w:type="table" w:styleId="a5">
    <w:name w:val="Table Grid"/>
    <w:basedOn w:val="a1"/>
    <w:qFormat/>
    <w:rsid w:val="003320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2020-08-20T00:13:00Z</dcterms:created>
  <dcterms:modified xsi:type="dcterms:W3CDTF">2020-08-20T00:13:00Z</dcterms:modified>
</cp:coreProperties>
</file>