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F4" w:rsidRDefault="00F93B45">
      <w:pPr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2017年度平顶山市科技计划项目验收</w:t>
      </w:r>
      <w:r w:rsidR="00255335">
        <w:rPr>
          <w:rFonts w:ascii="宋体" w:eastAsia="宋体" w:hAnsi="宋体" w:hint="eastAsia"/>
          <w:b/>
          <w:sz w:val="36"/>
          <w:szCs w:val="36"/>
        </w:rPr>
        <w:t>情况公示</w:t>
      </w:r>
      <w:r>
        <w:rPr>
          <w:rFonts w:ascii="宋体" w:eastAsia="宋体" w:hAnsi="宋体" w:hint="eastAsia"/>
          <w:b/>
          <w:sz w:val="36"/>
          <w:szCs w:val="36"/>
        </w:rPr>
        <w:t>表</w:t>
      </w:r>
      <w:bookmarkStart w:id="0" w:name="_GoBack"/>
      <w:bookmarkEnd w:id="0"/>
    </w:p>
    <w:p w:rsidR="00E65CE9" w:rsidRDefault="00E65CE9">
      <w:pPr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Style w:val="a6"/>
        <w:tblW w:w="5139" w:type="pct"/>
        <w:tblLayout w:type="fixed"/>
        <w:tblLook w:val="04A0"/>
      </w:tblPr>
      <w:tblGrid>
        <w:gridCol w:w="534"/>
        <w:gridCol w:w="6379"/>
        <w:gridCol w:w="3401"/>
        <w:gridCol w:w="1702"/>
        <w:gridCol w:w="1276"/>
        <w:gridCol w:w="1276"/>
      </w:tblGrid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D10D6E" w:rsidRPr="00E65CE9" w:rsidRDefault="00D10D6E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65CE9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89" w:type="pct"/>
            <w:vAlign w:val="center"/>
          </w:tcPr>
          <w:p w:rsidR="00D10D6E" w:rsidRPr="00E65CE9" w:rsidRDefault="00D10D6E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65CE9">
              <w:rPr>
                <w:rFonts w:ascii="宋体" w:eastAsia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167" w:type="pct"/>
            <w:vAlign w:val="center"/>
          </w:tcPr>
          <w:p w:rsidR="00D10D6E" w:rsidRPr="00E65CE9" w:rsidRDefault="00D10D6E" w:rsidP="00C80EF7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65CE9">
              <w:rPr>
                <w:rFonts w:ascii="宋体" w:eastAsia="宋体" w:hAnsi="宋体" w:hint="eastAsia"/>
                <w:b/>
                <w:sz w:val="28"/>
                <w:szCs w:val="28"/>
              </w:rPr>
              <w:t>承担单位</w:t>
            </w:r>
          </w:p>
        </w:tc>
        <w:tc>
          <w:tcPr>
            <w:tcW w:w="584" w:type="pct"/>
            <w:vAlign w:val="center"/>
          </w:tcPr>
          <w:p w:rsidR="00D10D6E" w:rsidRPr="00E65CE9" w:rsidRDefault="00D10D6E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65CE9">
              <w:rPr>
                <w:rFonts w:ascii="宋体" w:eastAsia="宋体" w:hAnsi="宋体" w:hint="eastAsia"/>
                <w:b/>
                <w:sz w:val="28"/>
                <w:szCs w:val="28"/>
              </w:rPr>
              <w:t>主管单位</w:t>
            </w:r>
          </w:p>
        </w:tc>
        <w:tc>
          <w:tcPr>
            <w:tcW w:w="438" w:type="pct"/>
            <w:vAlign w:val="center"/>
          </w:tcPr>
          <w:p w:rsidR="00255335" w:rsidRPr="00E65CE9" w:rsidRDefault="00D10D6E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E65CE9">
              <w:rPr>
                <w:rFonts w:ascii="宋体" w:eastAsia="宋体" w:hAnsi="宋体" w:hint="eastAsia"/>
                <w:b/>
                <w:sz w:val="28"/>
                <w:szCs w:val="28"/>
              </w:rPr>
              <w:t>项目</w:t>
            </w:r>
          </w:p>
          <w:p w:rsidR="00D10D6E" w:rsidRPr="00E65CE9" w:rsidRDefault="00D10D6E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65CE9">
              <w:rPr>
                <w:rFonts w:ascii="宋体" w:eastAsia="宋体" w:hAnsi="宋体" w:hint="eastAsia"/>
                <w:b/>
                <w:sz w:val="28"/>
                <w:szCs w:val="28"/>
              </w:rPr>
              <w:t>领域</w:t>
            </w:r>
          </w:p>
        </w:tc>
        <w:tc>
          <w:tcPr>
            <w:tcW w:w="438" w:type="pct"/>
            <w:vAlign w:val="center"/>
          </w:tcPr>
          <w:p w:rsidR="00D10D6E" w:rsidRPr="00E65CE9" w:rsidRDefault="00255335" w:rsidP="00255335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65CE9">
              <w:rPr>
                <w:rFonts w:ascii="宋体" w:eastAsia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500</w:t>
            </w:r>
            <w:r w:rsidRPr="00255335">
              <w:rPr>
                <w:rFonts w:ascii="仿宋" w:eastAsia="仿宋" w:hAnsi="仿宋"/>
                <w:sz w:val="24"/>
                <w:szCs w:val="24"/>
              </w:rPr>
              <w:t>Kv</w:t>
            </w: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高速机械开关关键技术研究及样机研制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平高集团有限公司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平高集团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高新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石化核心装备用特厚钢板关键技术研发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舞阳钢铁有限责任公司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舞阳市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高新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煤系中间相沥青焦的研制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平顶山东晟高科实业有限公司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石龙区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高新</w:t>
            </w:r>
          </w:p>
        </w:tc>
        <w:tc>
          <w:tcPr>
            <w:tcW w:w="438" w:type="pct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智能机械系列产品技术研发与推广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河南跃薪智能机械有限公司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新城区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高新</w:t>
            </w:r>
          </w:p>
        </w:tc>
        <w:tc>
          <w:tcPr>
            <w:tcW w:w="438" w:type="pct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隔热性防火玻璃专用凝胶材料的研发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河南恒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鑫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丰安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防科技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高新</w:t>
            </w:r>
          </w:p>
        </w:tc>
        <w:tc>
          <w:tcPr>
            <w:tcW w:w="438" w:type="pct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高压组合电器铝合金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拐臂盒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低压一次成型技术研究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河南金泽电器有限公司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宝丰县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高新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石墨基锂离子电池负极材料的改良及应用研究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高新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硫、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氮共掺杂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三维石墨烯基口罩滤膜的制备及其性能研究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高新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模块化多电平变换器关键技术研究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高新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电镀废水中重金属含量的快速伏安检测技术研究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高新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35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兔胆的再加工与资源化利用研究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农业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3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小麦L</w:t>
            </w:r>
            <w:r w:rsidRPr="00255335">
              <w:rPr>
                <w:rFonts w:ascii="仿宋" w:eastAsia="仿宋" w:hAnsi="仿宋"/>
                <w:sz w:val="24"/>
                <w:szCs w:val="24"/>
              </w:rPr>
              <w:t>EA</w:t>
            </w:r>
            <w:r w:rsidRPr="00255335">
              <w:rPr>
                <w:rFonts w:ascii="仿宋" w:eastAsia="仿宋" w:hAnsi="仿宋" w:hint="eastAsia"/>
                <w:sz w:val="24"/>
                <w:szCs w:val="24"/>
              </w:rPr>
              <w:t>家族抗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逆功能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基因分离鉴定及应用研究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农业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39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食药两用经济林木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百合林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下高效快繁栽培技术的研究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农业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396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猪流行性腹泻病毒胶体金免疫试纸的研制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农业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55335">
              <w:rPr>
                <w:rFonts w:ascii="仿宋" w:eastAsia="仿宋" w:hAnsi="仿宋"/>
                <w:sz w:val="24"/>
                <w:szCs w:val="24"/>
              </w:rPr>
              <w:t>EM</w:t>
            </w:r>
            <w:r w:rsidRPr="00255335">
              <w:rPr>
                <w:rFonts w:ascii="仿宋" w:eastAsia="仿宋" w:hAnsi="仿宋" w:hint="eastAsia"/>
                <w:sz w:val="24"/>
                <w:szCs w:val="24"/>
              </w:rPr>
              <w:t>微生物菌剂在经济作物上减肥提质增效机理研究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河南省龙腾高科实业有限公司</w:t>
            </w:r>
          </w:p>
        </w:tc>
        <w:tc>
          <w:tcPr>
            <w:tcW w:w="584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新华区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农业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丰宝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699玉米新品种选育研究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宝丰县农科所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 xml:space="preserve">宝丰县 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农业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磺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酰胺基苯肼盐酸盐合成新工艺的研究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平顶山奥斯达有限公司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叶县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社发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高速机械消除浮选三相泡沫技术开发研制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平顶山华兴浮选有限公司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新华区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社发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晶质透光瓷画研制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宝丰大博瓷画有限公司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宝丰县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社发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宝丰县科技馆公共安全综合保障技术研究与建设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宝丰县科技馆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 xml:space="preserve">宝丰县 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社发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E65CE9" w:rsidRDefault="00255335" w:rsidP="00DB0EF1">
            <w:pPr>
              <w:spacing w:line="400" w:lineRule="exact"/>
              <w:rPr>
                <w:rFonts w:ascii="仿宋" w:eastAsia="仿宋" w:hAnsi="仿宋"/>
                <w:sz w:val="18"/>
                <w:szCs w:val="18"/>
              </w:rPr>
            </w:pPr>
            <w:r w:rsidRPr="00E65CE9">
              <w:rPr>
                <w:rFonts w:ascii="仿宋" w:eastAsia="仿宋" w:hAnsi="仿宋" w:hint="eastAsia"/>
                <w:sz w:val="18"/>
                <w:szCs w:val="18"/>
              </w:rPr>
              <w:t>污泥基陶粒微环境氧化及光伏</w:t>
            </w:r>
            <w:proofErr w:type="gramStart"/>
            <w:r w:rsidRPr="00E65CE9">
              <w:rPr>
                <w:rFonts w:ascii="仿宋" w:eastAsia="仿宋" w:hAnsi="仿宋" w:hint="eastAsia"/>
                <w:sz w:val="18"/>
                <w:szCs w:val="18"/>
              </w:rPr>
              <w:t>生态藻船协同</w:t>
            </w:r>
            <w:proofErr w:type="gramEnd"/>
            <w:r w:rsidRPr="00E65CE9">
              <w:rPr>
                <w:rFonts w:ascii="仿宋" w:eastAsia="仿宋" w:hAnsi="仿宋" w:hint="eastAsia"/>
                <w:sz w:val="18"/>
                <w:szCs w:val="18"/>
              </w:rPr>
              <w:t>净化矿区废水示范技术研究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社发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膨胀土基坑的变形机理与控制措施研究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社发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全装配</w:t>
            </w:r>
            <w:proofErr w:type="spell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rc</w:t>
            </w:r>
            <w:proofErr w:type="spell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楼盖面内受阻力机理与结构抗震设计方案研究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社发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DB0EF1" w:rsidRPr="00255335" w:rsidRDefault="00DB0EF1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DB0EF1" w:rsidRPr="00255335" w:rsidRDefault="00DB0EF1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焦炉化废气脱硫技术研究与开发</w:t>
            </w:r>
          </w:p>
        </w:tc>
        <w:tc>
          <w:tcPr>
            <w:tcW w:w="1167" w:type="pct"/>
            <w:vAlign w:val="center"/>
          </w:tcPr>
          <w:p w:rsidR="00DB0EF1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河南中材环保有限公司</w:t>
            </w:r>
          </w:p>
        </w:tc>
        <w:tc>
          <w:tcPr>
            <w:tcW w:w="584" w:type="pct"/>
            <w:vAlign w:val="center"/>
          </w:tcPr>
          <w:p w:rsidR="00DB0EF1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社发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百城建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设提质背景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下城市用地空间绩效评价关键技术研究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社发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易腐食品安全预警云体系构建研究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社发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41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蓝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莓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快繁及高产高效栽培技术研究与产业化开发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平顶山市农业科学院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E65CE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粉煤灰对沥青混凝土稳定性的影响及机理研究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56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太阳能及空气能高效综合利用技术的研究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59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本质阻燃尼龙66的制备与性能研究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23"/>
        </w:trPr>
        <w:tc>
          <w:tcPr>
            <w:tcW w:w="183" w:type="pct"/>
            <w:vAlign w:val="center"/>
          </w:tcPr>
          <w:p w:rsidR="00DB0EF1" w:rsidRPr="00255335" w:rsidRDefault="00DB0EF1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DB0EF1" w:rsidRPr="00255335" w:rsidRDefault="00DB0EF1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基于P</w:t>
            </w:r>
            <w:r w:rsidRPr="00255335">
              <w:rPr>
                <w:rFonts w:ascii="仿宋" w:eastAsia="仿宋" w:hAnsi="仿宋"/>
                <w:sz w:val="24"/>
                <w:szCs w:val="24"/>
              </w:rPr>
              <w:t>WM</w:t>
            </w:r>
            <w:r w:rsidRPr="00255335">
              <w:rPr>
                <w:rFonts w:ascii="仿宋" w:eastAsia="仿宋" w:hAnsi="仿宋" w:hint="eastAsia"/>
                <w:sz w:val="24"/>
                <w:szCs w:val="24"/>
              </w:rPr>
              <w:t>整流器的新能源汽车车载电源关键技术研究</w:t>
            </w:r>
          </w:p>
        </w:tc>
        <w:tc>
          <w:tcPr>
            <w:tcW w:w="1167" w:type="pct"/>
            <w:vAlign w:val="center"/>
          </w:tcPr>
          <w:p w:rsidR="00DB0EF1" w:rsidRPr="00255335" w:rsidRDefault="00DB0EF1" w:rsidP="00E65CE9">
            <w:pPr>
              <w:spacing w:line="400" w:lineRule="exact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DB0EF1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DB0EF1" w:rsidRPr="00255335" w:rsidRDefault="00DB0EF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16"/>
        </w:trPr>
        <w:tc>
          <w:tcPr>
            <w:tcW w:w="183" w:type="pct"/>
            <w:vAlign w:val="center"/>
          </w:tcPr>
          <w:p w:rsidR="00DB0EF1" w:rsidRPr="00255335" w:rsidRDefault="00DB0EF1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DB0EF1" w:rsidRPr="00255335" w:rsidRDefault="00DB0EF1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无公害黑木耳工厂化规程与产业化研究</w:t>
            </w:r>
          </w:p>
        </w:tc>
        <w:tc>
          <w:tcPr>
            <w:tcW w:w="1167" w:type="pct"/>
            <w:vAlign w:val="center"/>
          </w:tcPr>
          <w:p w:rsidR="00DB0EF1" w:rsidRPr="00E65CE9" w:rsidRDefault="00DB0EF1" w:rsidP="00E65CE9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E65CE9">
              <w:rPr>
                <w:rFonts w:ascii="仿宋" w:eastAsia="仿宋" w:hAnsi="仿宋" w:hint="eastAsia"/>
                <w:szCs w:val="21"/>
              </w:rPr>
              <w:t>宝丰县源泉生态农业开发有限公司</w:t>
            </w:r>
          </w:p>
        </w:tc>
        <w:tc>
          <w:tcPr>
            <w:tcW w:w="584" w:type="pct"/>
            <w:vAlign w:val="center"/>
          </w:tcPr>
          <w:p w:rsidR="00DB0EF1" w:rsidRPr="00255335" w:rsidRDefault="00DB0EF1" w:rsidP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宝丰县</w:t>
            </w:r>
            <w:r w:rsidR="00255335" w:rsidRPr="0025533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DB0EF1" w:rsidRPr="00255335" w:rsidRDefault="00DB0EF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22"/>
        </w:trPr>
        <w:tc>
          <w:tcPr>
            <w:tcW w:w="183" w:type="pct"/>
            <w:vAlign w:val="center"/>
          </w:tcPr>
          <w:p w:rsidR="00DB0EF1" w:rsidRPr="00255335" w:rsidRDefault="00DB0EF1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DB0EF1" w:rsidRPr="00255335" w:rsidRDefault="00DB0EF1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绿色高校设施韭菜栽培规程与产业化研究</w:t>
            </w:r>
          </w:p>
        </w:tc>
        <w:tc>
          <w:tcPr>
            <w:tcW w:w="1167" w:type="pct"/>
            <w:vAlign w:val="center"/>
          </w:tcPr>
          <w:p w:rsidR="00DB0EF1" w:rsidRPr="00E65CE9" w:rsidRDefault="00DB0EF1" w:rsidP="00E65CE9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E65CE9">
              <w:rPr>
                <w:rFonts w:ascii="仿宋" w:eastAsia="仿宋" w:hAnsi="仿宋" w:hint="eastAsia"/>
                <w:szCs w:val="21"/>
              </w:rPr>
              <w:t>平顶山</w:t>
            </w:r>
            <w:proofErr w:type="gramStart"/>
            <w:r w:rsidRPr="00E65CE9">
              <w:rPr>
                <w:rFonts w:ascii="仿宋" w:eastAsia="仿宋" w:hAnsi="仿宋" w:hint="eastAsia"/>
                <w:szCs w:val="21"/>
              </w:rPr>
              <w:t>市裕丰源</w:t>
            </w:r>
            <w:proofErr w:type="gramEnd"/>
            <w:r w:rsidRPr="00E65CE9">
              <w:rPr>
                <w:rFonts w:ascii="仿宋" w:eastAsia="仿宋" w:hAnsi="仿宋" w:hint="eastAsia"/>
                <w:szCs w:val="21"/>
              </w:rPr>
              <w:t>农业科技有限公司</w:t>
            </w:r>
          </w:p>
        </w:tc>
        <w:tc>
          <w:tcPr>
            <w:tcW w:w="584" w:type="pct"/>
            <w:vAlign w:val="center"/>
          </w:tcPr>
          <w:p w:rsidR="00DB0EF1" w:rsidRPr="00255335" w:rsidRDefault="00DB0EF1" w:rsidP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宝丰县</w:t>
            </w:r>
            <w:r w:rsidR="00255335" w:rsidRPr="0025533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DB0EF1" w:rsidRPr="00255335" w:rsidRDefault="00DB0EF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14"/>
        </w:trPr>
        <w:tc>
          <w:tcPr>
            <w:tcW w:w="183" w:type="pct"/>
            <w:vAlign w:val="center"/>
          </w:tcPr>
          <w:p w:rsidR="00DB0EF1" w:rsidRPr="00255335" w:rsidRDefault="00DB0EF1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DB0EF1" w:rsidRPr="00255335" w:rsidRDefault="00DB0EF1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无压烧结碳化硅防弹板工艺技术研究</w:t>
            </w:r>
          </w:p>
        </w:tc>
        <w:tc>
          <w:tcPr>
            <w:tcW w:w="1167" w:type="pct"/>
            <w:vAlign w:val="center"/>
          </w:tcPr>
          <w:p w:rsidR="00DB0EF1" w:rsidRPr="00255335" w:rsidRDefault="00DB0EF1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河南瑞航碳化硅制品有限公司</w:t>
            </w:r>
          </w:p>
        </w:tc>
        <w:tc>
          <w:tcPr>
            <w:tcW w:w="584" w:type="pct"/>
            <w:vAlign w:val="center"/>
          </w:tcPr>
          <w:p w:rsidR="00DB0EF1" w:rsidRPr="00255335" w:rsidRDefault="00DB0EF1" w:rsidP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宝丰县</w:t>
            </w:r>
            <w:r w:rsidR="00255335" w:rsidRPr="0025533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DB0EF1" w:rsidRPr="00255335" w:rsidRDefault="00DB0EF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8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膨胀土固化建筑垃圾工程性能及其应用研究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36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大豆油体组分结构稳定性改造及其在食品中的应用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基于3</w:t>
            </w:r>
            <w:r w:rsidRPr="00255335">
              <w:rPr>
                <w:rFonts w:ascii="仿宋" w:eastAsia="仿宋" w:hAnsi="仿宋"/>
                <w:sz w:val="24"/>
                <w:szCs w:val="24"/>
              </w:rPr>
              <w:t>D</w:t>
            </w:r>
            <w:r w:rsidRPr="00255335">
              <w:rPr>
                <w:rFonts w:ascii="仿宋" w:eastAsia="仿宋" w:hAnsi="仿宋" w:hint="eastAsia"/>
                <w:sz w:val="24"/>
                <w:szCs w:val="24"/>
              </w:rPr>
              <w:t>打印的a-高强石膏制备技术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c>
          <w:tcPr>
            <w:tcW w:w="183" w:type="pct"/>
            <w:vAlign w:val="center"/>
          </w:tcPr>
          <w:p w:rsidR="00DB0EF1" w:rsidRPr="00255335" w:rsidRDefault="00DB0EF1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DB0EF1" w:rsidRPr="00255335" w:rsidRDefault="00DB0EF1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己内酰胺生产废水回收利用研究</w:t>
            </w:r>
          </w:p>
        </w:tc>
        <w:tc>
          <w:tcPr>
            <w:tcW w:w="1167" w:type="pct"/>
            <w:vAlign w:val="center"/>
          </w:tcPr>
          <w:p w:rsidR="00DB0EF1" w:rsidRPr="00255335" w:rsidRDefault="00DB0EF1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中国平煤神马集团技术中心</w:t>
            </w:r>
          </w:p>
        </w:tc>
        <w:tc>
          <w:tcPr>
            <w:tcW w:w="584" w:type="pct"/>
            <w:vAlign w:val="center"/>
          </w:tcPr>
          <w:p w:rsidR="00DB0EF1" w:rsidRPr="00255335" w:rsidRDefault="00DB0E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平煤神马集团</w:t>
            </w:r>
          </w:p>
        </w:tc>
        <w:tc>
          <w:tcPr>
            <w:tcW w:w="438" w:type="pct"/>
            <w:vAlign w:val="center"/>
          </w:tcPr>
          <w:p w:rsidR="00DB0EF1" w:rsidRPr="00255335" w:rsidRDefault="00DB0EF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01"/>
        </w:trPr>
        <w:tc>
          <w:tcPr>
            <w:tcW w:w="183" w:type="pct"/>
            <w:vAlign w:val="center"/>
          </w:tcPr>
          <w:p w:rsidR="00DB0EF1" w:rsidRPr="00255335" w:rsidRDefault="00DB0EF1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DB0EF1" w:rsidRPr="00255335" w:rsidRDefault="00DB0EF1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新型420</w:t>
            </w:r>
            <w:r w:rsidRPr="00255335">
              <w:rPr>
                <w:rFonts w:ascii="仿宋" w:eastAsia="仿宋" w:hAnsi="仿宋"/>
                <w:sz w:val="24"/>
                <w:szCs w:val="24"/>
              </w:rPr>
              <w:t>kv 63Ka HGIS</w:t>
            </w:r>
            <w:r w:rsidRPr="00255335">
              <w:rPr>
                <w:rFonts w:ascii="仿宋" w:eastAsia="仿宋" w:hAnsi="仿宋" w:hint="eastAsia"/>
                <w:sz w:val="24"/>
                <w:szCs w:val="24"/>
              </w:rPr>
              <w:t>关键技术研究及样机研制</w:t>
            </w:r>
          </w:p>
        </w:tc>
        <w:tc>
          <w:tcPr>
            <w:tcW w:w="1167" w:type="pct"/>
            <w:vAlign w:val="center"/>
          </w:tcPr>
          <w:p w:rsidR="00DB0EF1" w:rsidRPr="00255335" w:rsidRDefault="00DB0EF1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平高集团有限公司</w:t>
            </w:r>
          </w:p>
        </w:tc>
        <w:tc>
          <w:tcPr>
            <w:tcW w:w="584" w:type="pct"/>
            <w:vAlign w:val="center"/>
          </w:tcPr>
          <w:p w:rsidR="00DB0EF1" w:rsidRPr="00255335" w:rsidRDefault="00DB0E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平高集团</w:t>
            </w:r>
          </w:p>
        </w:tc>
        <w:tc>
          <w:tcPr>
            <w:tcW w:w="438" w:type="pct"/>
            <w:vAlign w:val="center"/>
          </w:tcPr>
          <w:p w:rsidR="00DB0EF1" w:rsidRPr="00255335" w:rsidRDefault="00DB0EF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59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掺杂Ti02/</w:t>
            </w:r>
            <w:r w:rsidRPr="00255335">
              <w:rPr>
                <w:rFonts w:ascii="仿宋" w:eastAsia="仿宋" w:hAnsi="仿宋"/>
                <w:sz w:val="24"/>
                <w:szCs w:val="24"/>
              </w:rPr>
              <w:t>C</w:t>
            </w:r>
            <w:r w:rsidRPr="00255335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255335">
              <w:rPr>
                <w:rFonts w:ascii="仿宋" w:eastAsia="仿宋" w:hAnsi="仿宋"/>
                <w:sz w:val="24"/>
                <w:szCs w:val="24"/>
              </w:rPr>
              <w:t>N</w:t>
            </w:r>
            <w:r w:rsidRPr="00255335">
              <w:rPr>
                <w:rFonts w:ascii="仿宋" w:eastAsia="仿宋" w:hAnsi="仿宋" w:hint="eastAsia"/>
                <w:sz w:val="24"/>
                <w:szCs w:val="24"/>
              </w:rPr>
              <w:t>4复合光催化剂的制备、表征及性能研究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1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受扰非线性系统的抗干扰控制方法与应用研究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5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建筑信息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云服务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平台的大数据处理研究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94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E65CE9" w:rsidRDefault="00255335" w:rsidP="00DB0EF1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E65CE9">
              <w:rPr>
                <w:rFonts w:ascii="仿宋" w:eastAsia="仿宋" w:hAnsi="仿宋" w:hint="eastAsia"/>
                <w:szCs w:val="21"/>
              </w:rPr>
              <w:t>建筑工程B</w:t>
            </w:r>
            <w:r w:rsidRPr="00E65CE9">
              <w:rPr>
                <w:rFonts w:ascii="仿宋" w:eastAsia="仿宋" w:hAnsi="仿宋"/>
                <w:szCs w:val="21"/>
              </w:rPr>
              <w:t>IM</w:t>
            </w:r>
            <w:r w:rsidRPr="00E65CE9">
              <w:rPr>
                <w:rFonts w:ascii="仿宋" w:eastAsia="仿宋" w:hAnsi="仿宋" w:hint="eastAsia"/>
                <w:szCs w:val="21"/>
              </w:rPr>
              <w:t>技术在医院项目施工管理过程的技术应用研究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2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基于传统院落空间形态对河南现代住区设计启迪的研究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36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平顶山市农村城镇化进程中农村劳动力就业趋势研究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15"/>
        </w:trPr>
        <w:tc>
          <w:tcPr>
            <w:tcW w:w="183" w:type="pct"/>
            <w:vAlign w:val="center"/>
          </w:tcPr>
          <w:p w:rsidR="00DB0EF1" w:rsidRPr="00255335" w:rsidRDefault="00DB0EF1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DB0EF1" w:rsidRPr="00255335" w:rsidRDefault="00DB0EF1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以玉文化为载体推动地区文化旅游产业发展理念研究</w:t>
            </w:r>
          </w:p>
        </w:tc>
        <w:tc>
          <w:tcPr>
            <w:tcW w:w="1167" w:type="pct"/>
            <w:vAlign w:val="center"/>
          </w:tcPr>
          <w:p w:rsidR="00DB0EF1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中共湛河区委党史研究室</w:t>
            </w:r>
          </w:p>
        </w:tc>
        <w:tc>
          <w:tcPr>
            <w:tcW w:w="584" w:type="pct"/>
            <w:vAlign w:val="center"/>
          </w:tcPr>
          <w:p w:rsidR="00DB0EF1" w:rsidRPr="00255335" w:rsidRDefault="00DB0EF1" w:rsidP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湛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河区</w:t>
            </w:r>
          </w:p>
        </w:tc>
        <w:tc>
          <w:tcPr>
            <w:tcW w:w="438" w:type="pct"/>
            <w:vAlign w:val="center"/>
          </w:tcPr>
          <w:p w:rsidR="00DB0EF1" w:rsidRPr="00255335" w:rsidRDefault="00DB0EF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13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平顶山市创新型人才培养模式构建研究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26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百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城建设提质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工程中传统村落的文化传承保护研究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59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河南省地方高校创新创业教育效率提升问题研究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368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“一带一路”背景下平顶山市国际化人才培养策略研究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374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E65CE9" w:rsidRDefault="00255335" w:rsidP="00DB0EF1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E65CE9">
              <w:rPr>
                <w:rFonts w:ascii="仿宋" w:eastAsia="仿宋" w:hAnsi="仿宋" w:hint="eastAsia"/>
                <w:szCs w:val="21"/>
              </w:rPr>
              <w:t>平顶山市“干部清正、政府清廉、政治清明”示范区建设研究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36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陶瓷艺术设计专业大学生创新创业孵化策略研究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19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市区域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创新体系与中小企业集聚协同发展研究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516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基于</w:t>
            </w:r>
            <w:r w:rsidRPr="00255335">
              <w:rPr>
                <w:rFonts w:ascii="仿宋" w:eastAsia="仿宋" w:hAnsi="仿宋"/>
                <w:sz w:val="24"/>
                <w:szCs w:val="24"/>
              </w:rPr>
              <w:t>SWOT理论的马街书会保护与传承创新路径研究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455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平顶山市跨境电</w:t>
            </w:r>
            <w:proofErr w:type="gramStart"/>
            <w:r w:rsidRPr="00255335">
              <w:rPr>
                <w:rFonts w:ascii="仿宋" w:eastAsia="仿宋" w:hAnsi="仿宋" w:hint="eastAsia"/>
                <w:sz w:val="24"/>
                <w:szCs w:val="24"/>
              </w:rPr>
              <w:t>商创业</w:t>
            </w:r>
            <w:proofErr w:type="gramEnd"/>
            <w:r w:rsidRPr="00255335">
              <w:rPr>
                <w:rFonts w:ascii="仿宋" w:eastAsia="仿宋" w:hAnsi="仿宋" w:hint="eastAsia"/>
                <w:sz w:val="24"/>
                <w:szCs w:val="24"/>
              </w:rPr>
              <w:t>人才孵化体系研究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平顶山教育学院</w:t>
            </w:r>
          </w:p>
        </w:tc>
        <w:tc>
          <w:tcPr>
            <w:tcW w:w="584" w:type="pct"/>
            <w:vAlign w:val="center"/>
          </w:tcPr>
          <w:p w:rsidR="00255335" w:rsidRPr="00E65CE9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65CE9">
              <w:rPr>
                <w:rFonts w:ascii="仿宋" w:eastAsia="仿宋" w:hAnsi="仿宋" w:hint="eastAsia"/>
                <w:szCs w:val="21"/>
              </w:rPr>
              <w:t>平顶山教育学院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312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新时期净化政治生态的路径研究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工业职业技术学院</w:t>
            </w:r>
          </w:p>
        </w:tc>
        <w:tc>
          <w:tcPr>
            <w:tcW w:w="584" w:type="pct"/>
            <w:vAlign w:val="center"/>
          </w:tcPr>
          <w:p w:rsidR="00E65CE9" w:rsidRPr="00E65CE9" w:rsidRDefault="00E65CE9" w:rsidP="00E65CE9">
            <w:pPr>
              <w:spacing w:line="40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/>
                <w:sz w:val="24"/>
                <w:szCs w:val="24"/>
              </w:rPr>
              <w:t>PPP模式下政府审计研究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平顶山市审计学会</w:t>
            </w:r>
          </w:p>
        </w:tc>
        <w:tc>
          <w:tcPr>
            <w:tcW w:w="584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知识产权强县工作评价体系研究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平顶山市知识产权协会</w:t>
            </w:r>
          </w:p>
        </w:tc>
        <w:tc>
          <w:tcPr>
            <w:tcW w:w="584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255335" w:rsidRPr="00255335" w:rsidRDefault="002553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软科学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sz w:val="24"/>
                <w:szCs w:val="24"/>
              </w:rPr>
              <w:t>通过验收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DB0EF1" w:rsidRPr="00255335" w:rsidRDefault="00DB0EF1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DB0EF1" w:rsidRPr="00255335" w:rsidRDefault="00DB0EF1" w:rsidP="00DB0EF1">
            <w:pPr>
              <w:spacing w:line="4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畜禽养殖中绿色生物制剂的研究与应用</w:t>
            </w:r>
          </w:p>
        </w:tc>
        <w:tc>
          <w:tcPr>
            <w:tcW w:w="1167" w:type="pct"/>
            <w:vAlign w:val="center"/>
          </w:tcPr>
          <w:p w:rsidR="00DB0EF1" w:rsidRPr="00255335" w:rsidRDefault="00DB0EF1" w:rsidP="00E65CE9">
            <w:pPr>
              <w:spacing w:line="4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DB0EF1" w:rsidRPr="00255335" w:rsidRDefault="00DB0EF1" w:rsidP="00C80EF7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C80EF7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农业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160CA7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延期验收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用于机械零件浇铸尼龙6的合成与表征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高新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延期验收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DB0EF1">
            <w:pPr>
              <w:spacing w:line="4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铝矾土尾矿制备烧结透水砖的关键技术研究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C80EF7">
            <w:pPr>
              <w:spacing w:line="400" w:lineRule="exact"/>
              <w:jc w:val="center"/>
              <w:rPr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高新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160CA7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延期验收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DB0EF1" w:rsidRPr="00255335" w:rsidRDefault="00DB0EF1" w:rsidP="00160CA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DB0EF1" w:rsidRPr="00255335" w:rsidRDefault="00DB0EF1" w:rsidP="00DB0EF1">
            <w:pPr>
              <w:spacing w:line="4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环己烯绿色氧化</w:t>
            </w:r>
            <w:proofErr w:type="gramStart"/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一</w:t>
            </w:r>
            <w:proofErr w:type="gramEnd"/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步法合成己二酸的研究</w:t>
            </w:r>
          </w:p>
        </w:tc>
        <w:tc>
          <w:tcPr>
            <w:tcW w:w="1167" w:type="pct"/>
            <w:vAlign w:val="center"/>
          </w:tcPr>
          <w:p w:rsidR="00DB0EF1" w:rsidRPr="00255335" w:rsidRDefault="00DB0EF1" w:rsidP="00E65CE9">
            <w:pPr>
              <w:spacing w:line="4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河南城建学院</w:t>
            </w:r>
          </w:p>
        </w:tc>
        <w:tc>
          <w:tcPr>
            <w:tcW w:w="584" w:type="pct"/>
            <w:vAlign w:val="center"/>
          </w:tcPr>
          <w:p w:rsidR="00DB0EF1" w:rsidRPr="00255335" w:rsidRDefault="00255335" w:rsidP="00C80EF7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河南城建学院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C80EF7">
            <w:pPr>
              <w:spacing w:line="400" w:lineRule="exact"/>
              <w:jc w:val="center"/>
              <w:rPr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人才合作</w:t>
            </w:r>
          </w:p>
        </w:tc>
        <w:tc>
          <w:tcPr>
            <w:tcW w:w="438" w:type="pct"/>
            <w:vAlign w:val="center"/>
          </w:tcPr>
          <w:p w:rsidR="00DB0EF1" w:rsidRPr="00255335" w:rsidRDefault="00DB0EF1" w:rsidP="00160CA7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延期验收</w:t>
            </w:r>
          </w:p>
        </w:tc>
      </w:tr>
      <w:tr w:rsidR="00E65CE9" w:rsidRPr="001B643D" w:rsidTr="00E65CE9">
        <w:trPr>
          <w:trHeight w:val="70"/>
        </w:trPr>
        <w:tc>
          <w:tcPr>
            <w:tcW w:w="183" w:type="pct"/>
            <w:vAlign w:val="center"/>
          </w:tcPr>
          <w:p w:rsidR="00255335" w:rsidRPr="00255335" w:rsidRDefault="00255335" w:rsidP="00B461F1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255335" w:rsidRPr="00255335" w:rsidRDefault="00255335" w:rsidP="00B461F1">
            <w:pPr>
              <w:spacing w:line="4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轻质盐石膏装配式板墙板墙的研制</w:t>
            </w:r>
          </w:p>
        </w:tc>
        <w:tc>
          <w:tcPr>
            <w:tcW w:w="1167" w:type="pct"/>
            <w:vAlign w:val="center"/>
          </w:tcPr>
          <w:p w:rsidR="00255335" w:rsidRPr="00255335" w:rsidRDefault="00255335" w:rsidP="00E65CE9">
            <w:pPr>
              <w:spacing w:line="4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河南同伟建材有限公司</w:t>
            </w:r>
          </w:p>
        </w:tc>
        <w:tc>
          <w:tcPr>
            <w:tcW w:w="584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叶县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高新</w:t>
            </w:r>
          </w:p>
        </w:tc>
        <w:tc>
          <w:tcPr>
            <w:tcW w:w="438" w:type="pct"/>
            <w:vAlign w:val="center"/>
          </w:tcPr>
          <w:p w:rsidR="00255335" w:rsidRPr="00255335" w:rsidRDefault="00255335" w:rsidP="00B461F1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3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补充材料</w:t>
            </w:r>
          </w:p>
        </w:tc>
      </w:tr>
    </w:tbl>
    <w:p w:rsidR="00A564F4" w:rsidRDefault="00A564F4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sectPr w:rsidR="00A564F4" w:rsidSect="00A564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0E" w:rsidRDefault="00A87F0E" w:rsidP="00D10D6E">
      <w:r>
        <w:separator/>
      </w:r>
    </w:p>
  </w:endnote>
  <w:endnote w:type="continuationSeparator" w:id="0">
    <w:p w:rsidR="00A87F0E" w:rsidRDefault="00A87F0E" w:rsidP="00D1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0E" w:rsidRDefault="00A87F0E" w:rsidP="00D10D6E">
      <w:r>
        <w:separator/>
      </w:r>
    </w:p>
  </w:footnote>
  <w:footnote w:type="continuationSeparator" w:id="0">
    <w:p w:rsidR="00A87F0E" w:rsidRDefault="00A87F0E" w:rsidP="00D10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00D1"/>
    <w:multiLevelType w:val="hybridMultilevel"/>
    <w:tmpl w:val="15D03374"/>
    <w:lvl w:ilvl="0" w:tplc="59DCC292">
      <w:start w:val="1"/>
      <w:numFmt w:val="decimal"/>
      <w:lvlText w:val="%1"/>
      <w:lvlJc w:val="center"/>
      <w:pPr>
        <w:ind w:left="420" w:hanging="132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6C3"/>
    <w:rsid w:val="00043785"/>
    <w:rsid w:val="00160B8F"/>
    <w:rsid w:val="00160CA7"/>
    <w:rsid w:val="0019616C"/>
    <w:rsid w:val="001B643D"/>
    <w:rsid w:val="00205622"/>
    <w:rsid w:val="00225328"/>
    <w:rsid w:val="00255335"/>
    <w:rsid w:val="0026167B"/>
    <w:rsid w:val="00291C49"/>
    <w:rsid w:val="002C6AF8"/>
    <w:rsid w:val="003058C1"/>
    <w:rsid w:val="003150E9"/>
    <w:rsid w:val="00504ED2"/>
    <w:rsid w:val="00584DBA"/>
    <w:rsid w:val="005900CA"/>
    <w:rsid w:val="006164A5"/>
    <w:rsid w:val="006258E9"/>
    <w:rsid w:val="00656911"/>
    <w:rsid w:val="0066547A"/>
    <w:rsid w:val="006723FD"/>
    <w:rsid w:val="006B1289"/>
    <w:rsid w:val="00727A92"/>
    <w:rsid w:val="007D64E1"/>
    <w:rsid w:val="008100C4"/>
    <w:rsid w:val="00814EC8"/>
    <w:rsid w:val="00927076"/>
    <w:rsid w:val="00972DB7"/>
    <w:rsid w:val="00984031"/>
    <w:rsid w:val="00986FF8"/>
    <w:rsid w:val="009B16C3"/>
    <w:rsid w:val="009C0F3B"/>
    <w:rsid w:val="00A564F4"/>
    <w:rsid w:val="00A87F0E"/>
    <w:rsid w:val="00BB1EF8"/>
    <w:rsid w:val="00BB26E2"/>
    <w:rsid w:val="00BB34C9"/>
    <w:rsid w:val="00C33437"/>
    <w:rsid w:val="00C55D88"/>
    <w:rsid w:val="00C63A88"/>
    <w:rsid w:val="00C6408D"/>
    <w:rsid w:val="00C924D3"/>
    <w:rsid w:val="00C94042"/>
    <w:rsid w:val="00CC35EA"/>
    <w:rsid w:val="00CE593A"/>
    <w:rsid w:val="00D10D6E"/>
    <w:rsid w:val="00DB0EF1"/>
    <w:rsid w:val="00E13173"/>
    <w:rsid w:val="00E65CE9"/>
    <w:rsid w:val="00E86155"/>
    <w:rsid w:val="00E97489"/>
    <w:rsid w:val="00EA5EFE"/>
    <w:rsid w:val="00EE2F0F"/>
    <w:rsid w:val="00F300D9"/>
    <w:rsid w:val="00F93B45"/>
    <w:rsid w:val="00F9444C"/>
    <w:rsid w:val="00FC3CBB"/>
    <w:rsid w:val="00FE2288"/>
    <w:rsid w:val="056C604C"/>
    <w:rsid w:val="10662AB9"/>
    <w:rsid w:val="1FEF539F"/>
    <w:rsid w:val="21E43BF9"/>
    <w:rsid w:val="71E7571C"/>
    <w:rsid w:val="763077DF"/>
    <w:rsid w:val="795A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56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5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5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A56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A564F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564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4F4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160C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971D42-44E7-4DF8-A48E-18393700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jiarubing</dc:creator>
  <cp:lastModifiedBy>Windows 用户</cp:lastModifiedBy>
  <cp:revision>13</cp:revision>
  <cp:lastPrinted>2020-01-15T07:04:00Z</cp:lastPrinted>
  <dcterms:created xsi:type="dcterms:W3CDTF">2020-01-14T03:10:00Z</dcterms:created>
  <dcterms:modified xsi:type="dcterms:W3CDTF">2020-01-16T02:36:00Z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