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/>
        </w:rPr>
      </w:pPr>
      <w:r>
        <w:rPr>
          <w:rFonts w:hint="eastAsia" w:ascii="黑体" w:hAnsi="黑体"/>
        </w:rPr>
        <w:t>附件2</w:t>
      </w: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widowControl w:val="0"/>
        <w:spacing w:after="0" w:line="353" w:lineRule="auto"/>
        <w:jc w:val="center"/>
        <w:rPr>
          <w:rFonts w:ascii="仿宋" w:hAnsi="仿宋" w:eastAsia="仿宋" w:cs="Times New Roman"/>
          <w:b/>
          <w:bCs/>
          <w:spacing w:val="28"/>
          <w:sz w:val="44"/>
        </w:rPr>
      </w:pPr>
      <w:bookmarkStart w:id="8" w:name="_GoBack"/>
      <w:r>
        <w:rPr>
          <w:rFonts w:ascii="仿宋" w:hAnsi="仿宋" w:eastAsia="仿宋" w:cs="Times New Roman"/>
          <w:b/>
          <w:bCs/>
          <w:spacing w:val="28"/>
          <w:sz w:val="44"/>
        </w:rPr>
        <w:t>2018年度科普统计调查表</w:t>
      </w:r>
    </w:p>
    <w:bookmarkEnd w:id="8"/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中华人民共和国科学技术部制定</w:t>
      </w: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国家统计局批准</w:t>
      </w: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2019年3月</w:t>
      </w:r>
    </w:p>
    <w:p>
      <w:pPr>
        <w:widowControl w:val="0"/>
        <w:spacing w:after="0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 w:cs="Times New Roman"/>
          <w:sz w:val="32"/>
        </w:rPr>
        <w:br w:type="page"/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 w:cs="Times New Roman"/>
          <w:b/>
          <w:bCs/>
          <w:spacing w:val="6"/>
          <w:sz w:val="36"/>
        </w:rPr>
        <w:t>填 报 说 明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（一）调查目的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为了掌握国家科普资源基本状况，了解国家科普工作运行质量；切实履行科技部门的职责，建立有序的工作制度，特制定本报表制度。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（二）调查对象和统计范围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国家机关、社会团体和企事业单位等机构和组织。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（三）调查内容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本报表制度主要调查上述对象的科普人员、科普场地、科普经费、科普传媒、科普活动、创新创业中的科普等六个方面。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（四）调查频率和时间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本报表制度为年报。报告期为1月1日—12月31日。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（五）调查方法</w:t>
      </w:r>
    </w:p>
    <w:p>
      <w:pPr>
        <w:widowControl w:val="0"/>
        <w:spacing w:after="0" w:line="324" w:lineRule="auto"/>
        <w:ind w:firstLine="46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pacing w:val="-5"/>
          <w:sz w:val="24"/>
        </w:rPr>
        <w:t>本调查为全面调查，填报单位需严格按照报表所规定的指标含义、指标解释进行填报。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（六）凡在表“KP-002科普场地”的第一部分“科普场馆”填报数据的单位，均需确保此“科普场馆”的数据单独在线填报，不能与其他单位汇总填报。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（七）机构主管部门类别代码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发展改革部门（25）、教育部门（03）、科技管理部门（01）、工业和信息化部门（19）、民族事务部门（21）、公安部门（20）、民政部门（26）、人力资源和社会保障部门（27）、自然资源部门（含林业和草原系统（11））（04）、生态环境部门（09）、住房和城乡建设部门（34）、交通运输部门（含民用航空系统、铁路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、国防科技工业部门（</w:t>
      </w:r>
      <w:r>
        <w:rPr>
          <w:rFonts w:ascii="仿宋" w:hAnsi="仿宋" w:eastAsia="仿宋"/>
          <w:sz w:val="24"/>
        </w:rPr>
        <w:t>39</w:t>
      </w:r>
      <w:r>
        <w:rPr>
          <w:rFonts w:hint="eastAsia" w:ascii="仿宋" w:hAnsi="仿宋" w:eastAsia="仿宋"/>
          <w:sz w:val="24"/>
        </w:rPr>
        <w:t>）、共青团组织（16）、工会组织（18）、妇联组织（17）、科协组织（02）、其他部门（30）</w:t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/>
          <w:sz w:val="24"/>
        </w:rPr>
        <w:br w:type="page"/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本报表制度根据《中华人民共和国统计法》</w:t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的有关规定制定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《中华人民共和国统计法》第九条规定：统计机构和统计人员对在统计工作中知悉的国家秘密、商业秘密和个人信息，应当予以保密。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hint="eastAsia" w:ascii="仿宋" w:hAnsi="仿宋" w:eastAsia="仿宋" w:cs="宋体"/>
          <w:bCs/>
          <w:sz w:val="28"/>
          <w:szCs w:val="24"/>
        </w:rPr>
        <w:br w:type="page"/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报 表 目 录</w:t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</w:p>
    <w:tbl>
      <w:tblPr>
        <w:tblStyle w:val="4"/>
        <w:tblW w:w="83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18"/>
        <w:gridCol w:w="3236"/>
        <w:gridCol w:w="3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指标个数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表1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科普人员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表2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科普场地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表3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科普经费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表4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科普传媒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表5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科普活动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表6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创新创业中的科普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124</w:t>
            </w: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宋体"/>
          <w:bCs/>
          <w:sz w:val="28"/>
          <w:szCs w:val="24"/>
        </w:rPr>
      </w:pPr>
    </w:p>
    <w:p>
      <w:pPr>
        <w:pStyle w:val="2"/>
        <w:spacing w:line="360" w:lineRule="auto"/>
        <w:ind w:firstLine="0" w:firstLineChars="0"/>
        <w:jc w:val="center"/>
        <w:rPr>
          <w:rFonts w:ascii="仿宋" w:hAnsi="仿宋" w:eastAsia="仿宋" w:cs="宋体"/>
          <w:b/>
          <w:bCs/>
        </w:rPr>
      </w:pPr>
      <w:bookmarkStart w:id="0" w:name="_Toc533692842"/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br w:type="page"/>
      </w: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调 查 表 式</w:t>
      </w:r>
      <w:bookmarkEnd w:id="0"/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spacing w:val="6"/>
          <w:sz w:val="36"/>
          <w:szCs w:val="36"/>
        </w:rPr>
      </w:pPr>
      <w:bookmarkStart w:id="1" w:name="_Toc533692843"/>
      <w:r>
        <w:rPr>
          <w:rFonts w:hint="eastAsia" w:ascii="仿宋_GB2312" w:hAnsi="仿宋" w:eastAsia="仿宋_GB2312" w:cs="Times New Roman"/>
          <w:b/>
          <w:spacing w:val="6"/>
          <w:sz w:val="36"/>
          <w:szCs w:val="36"/>
        </w:rPr>
        <w:t>（一）调查单位基本情况</w:t>
      </w:r>
      <w:bookmarkEnd w:id="1"/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10"/>
        </w:rPr>
      </w:pPr>
    </w:p>
    <w:tbl>
      <w:tblPr>
        <w:tblStyle w:val="4"/>
        <w:tblW w:w="850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866" w:type="dxa"/>
            <w:gridSpan w:val="2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KP-000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3666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  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尚未领取统一社会信用代码的填写原组织机构代码号：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单位详细名称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机构主管部门类别代码（见说明）   □   □</w:t>
            </w:r>
          </w:p>
        </w:tc>
        <w:tc>
          <w:tcPr>
            <w:tcW w:w="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所属国民经济行业分类门类代码（见说明） 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政府部门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□国家机关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单位级别 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中央级 □    省级 □     市级 □     区县级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107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单位所在地及区划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省(自治区、直辖市)              地(区、市、州、盟)               县(区、市、旗)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区划代码    □□□□□□□□□□□□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单位经费来源情况：     □ 财政全额拨款    □ 财政差额拨款    □ 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年末从业人员合计          人     本年收入总额           万元      本年支出总额           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法定代表人(单位负责人)                  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填表人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联系方式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长途区号    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固定电话    □□□□□□□□-□□□□□□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    □□□□□□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移动电话    □□□□□□□□□□□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传真号码    □□□□□□□□-□□□□□□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机构主管部门类别代码：</w:t>
      </w:r>
    </w:p>
    <w:p>
      <w:pPr>
        <w:widowControl w:val="0"/>
        <w:spacing w:after="0"/>
        <w:ind w:left="110" w:leftChars="50" w:right="110" w:rightChars="50" w:firstLine="340" w:firstLineChars="20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pacing w:val="-5"/>
          <w:sz w:val="18"/>
          <w:szCs w:val="18"/>
        </w:rPr>
        <w:t>发展改革部门（25）、教育部门（03）、科技管理部门（01）、工业和信息化部门（含国防科工系统）（19）、民族事务部门（21）、公安部门（20）、民政部门（26）、人力资源社会保障部门（27）、自然资源部门（含林业和草原系统（11））（04）、生态环境部门（09）、住房和城乡建设部门（34）、交通运输部门（含民用航空系统、铁路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</w:t>
      </w:r>
      <w:r>
        <w:rPr>
          <w:rFonts w:hint="eastAsia" w:ascii="仿宋" w:hAnsi="仿宋" w:eastAsia="仿宋" w:cs="Times New Roman"/>
          <w:spacing w:val="-5"/>
          <w:sz w:val="18"/>
          <w:szCs w:val="18"/>
        </w:rPr>
        <w:t>、国防科技工业部门（39）、</w:t>
      </w:r>
      <w:r>
        <w:rPr>
          <w:rFonts w:ascii="仿宋" w:hAnsi="仿宋" w:eastAsia="仿宋" w:cs="Times New Roman"/>
          <w:spacing w:val="-5"/>
          <w:sz w:val="18"/>
          <w:szCs w:val="18"/>
        </w:rPr>
        <w:t>共青团组织（16）、工会组织（18）、妇联组织（17）、科协组织（02）、其他部门（30）</w:t>
      </w:r>
    </w:p>
    <w:p>
      <w:pPr>
        <w:widowControl w:val="0"/>
        <w:spacing w:after="0"/>
        <w:ind w:left="110" w:leftChars="50" w:right="110" w:rightChars="50" w:firstLine="360" w:firstLineChars="20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国民经济行业分类门类代码（GB/4754-2017）：A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</w:p>
    <w:p>
      <w:pPr>
        <w:pStyle w:val="3"/>
        <w:ind w:firstLine="0" w:firstLineChars="0"/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br w:type="page"/>
      </w:r>
      <w:bookmarkStart w:id="2" w:name="_Toc533692844"/>
    </w:p>
    <w:p>
      <w:pPr>
        <w:pStyle w:val="3"/>
        <w:numPr>
          <w:ilvl w:val="0"/>
          <w:numId w:val="1"/>
        </w:numPr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科普人员</w:t>
      </w:r>
      <w:bookmarkEnd w:id="2"/>
    </w:p>
    <w:tbl>
      <w:tblPr>
        <w:tblStyle w:val="4"/>
        <w:tblW w:w="8503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611" w:type="dxa"/>
            <w:gridSpan w:val="2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KP-001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3724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250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 　年</w:t>
            </w:r>
          </w:p>
        </w:tc>
        <w:tc>
          <w:tcPr>
            <w:tcW w:w="901" w:type="dxa"/>
            <w:tcBorders>
              <w:bottom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6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KR100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统计负责人：       填表人：         联系电话：           报出日期：20  年  月  日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主要平衡关系：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KR110≤KR100，KR120≤KR100，KR130≤KR100，KR140≤KR100，KR150≤KR100，KR160≤KR100。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KR110、KR120、KR130、KR140、KR150、KR160均为KR100的子项，只是KR100的一部分，所以数量值均要小于或等于KR100。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KR210≤KR200，KR220≤KR200，KR230≤KR200，KR250≤KR200。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KR210、KR220、KR230、KR250均为KR200的子项，只是KR200的一部分，所以数量值均要小于或等于KR200。</w:t>
      </w:r>
    </w:p>
    <w:p>
      <w:pPr>
        <w:widowControl w:val="0"/>
        <w:spacing w:after="0" w:line="264" w:lineRule="auto"/>
        <w:jc w:val="both"/>
        <w:rPr>
          <w:rFonts w:ascii="仿宋" w:hAnsi="仿宋" w:eastAsia="仿宋"/>
          <w:sz w:val="18"/>
        </w:rPr>
      </w:pPr>
    </w:p>
    <w:p>
      <w:pPr>
        <w:pStyle w:val="3"/>
        <w:ind w:firstLine="0" w:firstLineChars="0"/>
        <w:jc w:val="center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sz w:val="18"/>
        </w:rPr>
        <w:br w:type="page"/>
      </w:r>
      <w:bookmarkStart w:id="3" w:name="_Toc533692845"/>
      <w:r>
        <w:rPr>
          <w:rFonts w:hint="eastAsia" w:ascii="仿宋_GB2312" w:hAnsi="仿宋" w:eastAsia="仿宋_GB2312"/>
          <w:b/>
          <w:sz w:val="36"/>
          <w:szCs w:val="36"/>
        </w:rPr>
        <w:t>（三）科普场地</w:t>
      </w:r>
      <w:bookmarkEnd w:id="3"/>
    </w:p>
    <w:tbl>
      <w:tblPr>
        <w:tblStyle w:val="4"/>
        <w:tblW w:w="8503" w:type="dxa"/>
        <w:jc w:val="center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表    号：</w:t>
            </w:r>
          </w:p>
        </w:tc>
        <w:tc>
          <w:tcPr>
            <w:tcW w:w="1663" w:type="dxa"/>
            <w:gridSpan w:val="2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KP-002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制定机关：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批准机关：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批准文号： 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79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20 　年</w:t>
            </w:r>
          </w:p>
        </w:tc>
        <w:tc>
          <w:tcPr>
            <w:tcW w:w="660" w:type="dxa"/>
            <w:gridSpan w:val="2"/>
            <w:tcBorders>
              <w:bottom w:val="single" w:color="auto" w:sz="6" w:space="0"/>
            </w:tcBorders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代码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 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科普宣传专用车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4. 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</w:tbl>
    <w:p>
      <w:pPr>
        <w:widowControl w:val="0"/>
        <w:spacing w:beforeLines="20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 统计负责人：        填表人： 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1. 必须是以上列举的各类科技馆，如果以上列举中没有包括，则不在统计范围。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 </w:t>
      </w:r>
      <w:r>
        <w:rPr>
          <w:rFonts w:ascii="仿宋" w:hAnsi="仿宋" w:eastAsia="仿宋" w:cs="Times New Roman"/>
          <w:sz w:val="18"/>
          <w:szCs w:val="18"/>
        </w:rPr>
        <w:t>2.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对于建筑面积的要求：建筑面积在500平米以下的，出租用于他用（商业经营等）或已丧失科普功能的，都不在此项统计范围内。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 </w:t>
      </w:r>
      <w:r>
        <w:rPr>
          <w:rFonts w:ascii="仿宋" w:hAnsi="仿宋" w:eastAsia="仿宋" w:cs="Times New Roman"/>
          <w:sz w:val="18"/>
          <w:szCs w:val="18"/>
        </w:rPr>
        <w:t>3.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展厅面积（KC112、KC122、KC132）：指用于各类展览的实际使用面积，不含公共设施、办公室和用于其他用途的使用面积。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</w:t>
      </w: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>4. 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</w:t>
      </w: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>5. 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6. 高等院校、科研机构、高新技术企业向公众开放的实验室和生产场所等不在统计范围内。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7. 免费开放天数，是指该场馆当年累计的免费开放天数。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8. 在场馆数量上，不能出现大于1的情况，因为每个场馆都要单独填报。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9. 场馆常设展品的件数，以完整呈现一个展出物品为一件。</w:t>
      </w:r>
    </w:p>
    <w:p>
      <w:pPr>
        <w:pStyle w:val="3"/>
        <w:ind w:firstLine="0" w:firstLine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4" w:name="_Toc533692846"/>
      <w:r>
        <w:rPr>
          <w:rFonts w:hint="eastAsia" w:ascii="仿宋_GB2312" w:hAnsi="仿宋" w:eastAsia="仿宋_GB2312"/>
          <w:b/>
          <w:sz w:val="36"/>
          <w:szCs w:val="36"/>
        </w:rPr>
        <w:t>（四）科普经费</w:t>
      </w:r>
      <w:bookmarkEnd w:id="4"/>
    </w:p>
    <w:tbl>
      <w:tblPr>
        <w:tblStyle w:val="4"/>
        <w:tblW w:w="850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表    号：</w:t>
            </w:r>
          </w:p>
        </w:tc>
        <w:tc>
          <w:tcPr>
            <w:tcW w:w="1662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KP-003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制定机关：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批准机关：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批准文号： 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61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单位详细名称：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20 　年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有效期至：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代码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KJ100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1.政府拨款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2.捐赠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3.自筹资金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4.其他收入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1.行政支出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2.科普活动支出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3.科普场馆基建支出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4.其他支出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三、科技活动周经费专项统计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科技活动周经费筹集额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   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         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ascii="仿宋" w:hAnsi="仿宋" w:eastAsia="仿宋" w:cs="Times New Roman"/>
          <w:sz w:val="18"/>
        </w:rPr>
        <w:t>单位负责人：          统计负责人：         填表人：         联系电话：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>说明：</w:t>
      </w:r>
      <w:r>
        <w:rPr>
          <w:rFonts w:ascii="仿宋" w:hAnsi="仿宋" w:eastAsia="仿宋" w:cs="Times New Roman"/>
          <w:sz w:val="18"/>
        </w:rPr>
        <w:t>1.</w:t>
      </w:r>
      <w:r>
        <w:rPr>
          <w:rFonts w:hint="eastAsia" w:ascii="仿宋" w:hAnsi="仿宋" w:eastAsia="仿宋" w:cs="Times New Roman"/>
          <w:sz w:val="18"/>
        </w:rPr>
        <w:t xml:space="preserve"> </w:t>
      </w:r>
      <w:r>
        <w:rPr>
          <w:rFonts w:ascii="仿宋" w:hAnsi="仿宋" w:eastAsia="仿宋" w:cs="Times New Roman"/>
          <w:sz w:val="18"/>
        </w:rPr>
        <w:t>主要平衡关系：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 xml:space="preserve">        </w:t>
      </w:r>
      <w:r>
        <w:rPr>
          <w:rFonts w:ascii="仿宋" w:hAnsi="仿宋" w:eastAsia="仿宋" w:cs="Times New Roman"/>
          <w:sz w:val="18"/>
        </w:rPr>
        <w:t xml:space="preserve"> KJ100＝KJ110＋KJ120＋KJ130＋KJ140；KJ110≥KJ111；KJ200＝KJ210＋KJ220＋KJ230＋KJ240；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 xml:space="preserve">        </w:t>
      </w:r>
      <w:r>
        <w:rPr>
          <w:rFonts w:ascii="仿宋" w:hAnsi="仿宋" w:eastAsia="仿宋" w:cs="Times New Roman"/>
          <w:sz w:val="18"/>
        </w:rPr>
        <w:t xml:space="preserve"> KJ230≥KJ231；KJ230≥KJ232；KJ230≥KJ233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ascii="仿宋" w:hAnsi="仿宋" w:eastAsia="仿宋" w:cs="Times New Roman"/>
          <w:sz w:val="18"/>
        </w:rPr>
        <w:t xml:space="preserve">      2.</w:t>
      </w:r>
      <w:r>
        <w:rPr>
          <w:rFonts w:hint="eastAsia" w:ascii="仿宋" w:hAnsi="仿宋" w:eastAsia="仿宋" w:cs="Times New Roman"/>
          <w:sz w:val="18"/>
        </w:rPr>
        <w:t xml:space="preserve"> </w:t>
      </w:r>
      <w:r>
        <w:rPr>
          <w:rFonts w:ascii="仿宋" w:hAnsi="仿宋" w:eastAsia="仿宋" w:cs="Times New Roman"/>
          <w:sz w:val="18"/>
        </w:rPr>
        <w:t>经费部分，所有单位均为万元，不要误填。</w:t>
      </w:r>
    </w:p>
    <w:p>
      <w:pPr>
        <w:widowControl w:val="0"/>
        <w:spacing w:after="0"/>
        <w:jc w:val="both"/>
        <w:rPr>
          <w:rFonts w:ascii="仿宋" w:hAnsi="仿宋" w:eastAsia="仿宋"/>
          <w:sz w:val="18"/>
        </w:rPr>
      </w:pPr>
    </w:p>
    <w:p>
      <w:pPr>
        <w:pStyle w:val="3"/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5" w:name="_Toc533692847"/>
      <w:r>
        <w:rPr>
          <w:rFonts w:hint="eastAsia" w:ascii="仿宋_GB2312" w:hAnsi="仿宋" w:eastAsia="仿宋_GB2312"/>
          <w:b/>
          <w:sz w:val="36"/>
          <w:szCs w:val="36"/>
        </w:rPr>
        <w:t>（五）科普传媒</w:t>
      </w:r>
      <w:bookmarkEnd w:id="5"/>
    </w:p>
    <w:p>
      <w:pPr>
        <w:pStyle w:val="3"/>
        <w:ind w:firstLine="0" w:firstLineChars="0"/>
        <w:jc w:val="center"/>
        <w:rPr>
          <w:rFonts w:ascii="仿宋" w:hAnsi="仿宋" w:eastAsia="仿宋"/>
          <w:sz w:val="18"/>
        </w:rPr>
      </w:pPr>
    </w:p>
    <w:tbl>
      <w:tblPr>
        <w:tblStyle w:val="4"/>
        <w:tblW w:w="850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874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KP-004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8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KM110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KM120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二、科普期刊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KM210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KM220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三、科普（技）音像制品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2.光盘发行总量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3.录音、录像带发行总量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盒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KM330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四、科技类报纸年发行总份数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KM400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KM500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KM600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七、科普网站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建设数量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网站访问量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发布科普视频数量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KM730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八、发放科普读物和资料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KM800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九、电子科普屏数量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块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KM900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十、科普类微博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KM011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阅读量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KM012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十一、科普类微信公众号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KM021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bottom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阅读量</w:t>
            </w:r>
          </w:p>
        </w:tc>
        <w:tc>
          <w:tcPr>
            <w:tcW w:w="11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KM022</w:t>
            </w:r>
          </w:p>
        </w:tc>
        <w:tc>
          <w:tcPr>
            <w:tcW w:w="1172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统计负责人：        填表人：        联系电话： 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1. 科普传媒是指各填报单位产出的科普作品，而不是填报单位订阅的资料。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     2. 科普图书、期刊等印刷媒体需要有ISBN编号，或者有内部准印证的图书或期刊，也在统计范围内。</w:t>
      </w:r>
    </w:p>
    <w:p>
      <w:pPr>
        <w:widowControl w:val="0"/>
        <w:spacing w:after="0"/>
        <w:jc w:val="center"/>
        <w:rPr>
          <w:rStyle w:val="7"/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  <w:sz w:val="18"/>
          <w:szCs w:val="18"/>
        </w:rPr>
        <w:br w:type="page"/>
      </w:r>
      <w:bookmarkStart w:id="6" w:name="_Toc533692848"/>
      <w:r>
        <w:rPr>
          <w:rStyle w:val="7"/>
          <w:rFonts w:hint="eastAsia" w:ascii="仿宋_GB2312" w:hAnsi="仿宋" w:eastAsia="仿宋_GB2312"/>
          <w:b/>
          <w:sz w:val="36"/>
          <w:szCs w:val="36"/>
        </w:rPr>
        <w:t>（六）科普活动</w:t>
      </w:r>
      <w:bookmarkEnd w:id="6"/>
    </w:p>
    <w:p>
      <w:pPr>
        <w:widowControl w:val="0"/>
        <w:spacing w:after="0"/>
        <w:jc w:val="center"/>
        <w:rPr>
          <w:rStyle w:val="7"/>
          <w:rFonts w:ascii="仿宋" w:hAnsi="仿宋" w:eastAsia="仿宋"/>
          <w:sz w:val="18"/>
          <w:szCs w:val="18"/>
        </w:rPr>
      </w:pPr>
    </w:p>
    <w:tbl>
      <w:tblPr>
        <w:tblStyle w:val="4"/>
        <w:tblW w:w="850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767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KP-005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97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819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1.成立青少年科技兴趣小组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2.科技夏（冬）令营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single" w:color="auto" w:sz="6" w:space="0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统计负责人：         填表人：  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说明：1.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填报单位组织的科普活动，本单位参加的活动不在统计范围内。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     2.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多主办单位的活动由第一主办单位填报，如果第一填报单位不在调查统计范围内的可以由第二主办单位填报，以此类推。</w:t>
      </w:r>
    </w:p>
    <w:p>
      <w:pPr>
        <w:pStyle w:val="3"/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7" w:name="_Toc533692849"/>
      <w:r>
        <w:rPr>
          <w:rFonts w:hint="eastAsia" w:ascii="仿宋_GB2312" w:hAnsi="仿宋" w:eastAsia="仿宋_GB2312"/>
          <w:b/>
          <w:sz w:val="36"/>
          <w:szCs w:val="36"/>
        </w:rPr>
        <w:t>（七）创新创业中的科普</w:t>
      </w:r>
      <w:bookmarkEnd w:id="7"/>
    </w:p>
    <w:tbl>
      <w:tblPr>
        <w:tblStyle w:val="4"/>
        <w:tblW w:w="8516" w:type="dxa"/>
        <w:jc w:val="center"/>
        <w:tblInd w:w="0" w:type="dxa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"/>
        <w:gridCol w:w="4152"/>
        <w:gridCol w:w="788"/>
        <w:gridCol w:w="268"/>
        <w:gridCol w:w="835"/>
        <w:gridCol w:w="223"/>
        <w:gridCol w:w="637"/>
        <w:gridCol w:w="358"/>
        <w:gridCol w:w="1180"/>
        <w:gridCol w:w="42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KP-006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4152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835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trHeight w:val="312" w:hRule="atLeast"/>
          <w:jc w:val="center"/>
        </w:trPr>
        <w:tc>
          <w:tcPr>
            <w:tcW w:w="49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top w:val="single" w:color="000000" w:sz="6" w:space="0"/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一、众创空间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2.办公场所建筑面积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平方米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3.工作人员数量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4.创业导师数量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KY140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5.服务创业人员数量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KY150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6.政府扶持经费金额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KY160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7.孵化科技类项目数量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KY170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二、科普类活动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1.创新创业培训次数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2.创新创业培训参加人数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KY211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3.科技类项目投资路演和宣传推介活动次数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4.科技类项目投资路演和宣传推介活动参加人数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KY221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5.举办科技类创新创业赛事次数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6.科技类创新创业赛事参加人数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KY231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三、科普产业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1.科普产品收入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2.科普出版收入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3科普影视收入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4.科普游戏收入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KY340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5.科普旅游收入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KY350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  <w:bottom w:val="single" w:color="000000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6.其他科普收入</w:t>
            </w:r>
          </w:p>
        </w:tc>
        <w:tc>
          <w:tcPr>
            <w:tcW w:w="132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KY360</w:t>
            </w:r>
          </w:p>
        </w:tc>
        <w:tc>
          <w:tcPr>
            <w:tcW w:w="1180" w:type="dxa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 统计负责人：         填表人：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说明： 众创空间指顺应新科技革命和产业变革新趋势、有效满足网络时代大众创新创业需求的新型创业服务平台。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E6"/>
    <w:multiLevelType w:val="singleLevel"/>
    <w:tmpl w:val="04880EE6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8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after="0" w:line="353" w:lineRule="auto"/>
      <w:ind w:firstLine="576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7"/>
    <w:qFormat/>
    <w:uiPriority w:val="0"/>
    <w:pPr>
      <w:widowControl w:val="0"/>
      <w:spacing w:after="0" w:line="353" w:lineRule="auto"/>
      <w:ind w:firstLine="576" w:firstLineChars="200"/>
      <w:jc w:val="both"/>
      <w:outlineLvl w:val="1"/>
    </w:pPr>
    <w:rPr>
      <w:rFonts w:ascii="Times New Roman" w:hAnsi="Times New Roman" w:eastAsia="楷体_GB2312" w:cs="Times New Roman"/>
      <w:kern w:val="2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6"/>
    <w:link w:val="3"/>
    <w:qFormat/>
    <w:uiPriority w:val="0"/>
    <w:rPr>
      <w:rFonts w:ascii="Times New Roman" w:hAnsi="Times New Roman" w:eastAsia="楷体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2019-05-13T08:38:58Z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